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04872075"/>
        <w:docPartObj>
          <w:docPartGallery w:val="Cover Pages"/>
          <w:docPartUnique/>
        </w:docPartObj>
      </w:sdtPr>
      <w:sdtEndPr>
        <w:rPr>
          <w:lang w:val="en-US"/>
        </w:rPr>
      </w:sdtEndPr>
      <w:sdtContent>
        <w:p w14:paraId="3A21C631" w14:textId="401A2B3A" w:rsidR="00182B55" w:rsidRDefault="00E221DF">
          <w:r>
            <w:rPr>
              <w:noProof/>
            </w:rPr>
            <mc:AlternateContent>
              <mc:Choice Requires="wps">
                <w:drawing>
                  <wp:anchor distT="0" distB="0" distL="114300" distR="114300" simplePos="0" relativeHeight="251664384" behindDoc="0" locked="0" layoutInCell="1" allowOverlap="1" wp14:anchorId="46F914C8" wp14:editId="403AD543">
                    <wp:simplePos x="0" y="0"/>
                    <wp:positionH relativeFrom="margin">
                      <wp:posOffset>-487680</wp:posOffset>
                    </wp:positionH>
                    <wp:positionV relativeFrom="paragraph">
                      <wp:posOffset>-502920</wp:posOffset>
                    </wp:positionV>
                    <wp:extent cx="6701246" cy="2209800"/>
                    <wp:effectExtent l="0" t="0" r="4445" b="0"/>
                    <wp:wrapNone/>
                    <wp:docPr id="963296957" name="Text Box 11"/>
                    <wp:cNvGraphicFramePr/>
                    <a:graphic xmlns:a="http://schemas.openxmlformats.org/drawingml/2006/main">
                      <a:graphicData uri="http://schemas.microsoft.com/office/word/2010/wordprocessingShape">
                        <wps:wsp>
                          <wps:cNvSpPr txBox="1"/>
                          <wps:spPr>
                            <a:xfrm>
                              <a:off x="0" y="0"/>
                              <a:ext cx="6701246" cy="2209800"/>
                            </a:xfrm>
                            <a:prstGeom prst="rect">
                              <a:avLst/>
                            </a:prstGeom>
                            <a:solidFill>
                              <a:schemeClr val="lt1"/>
                            </a:solidFill>
                            <a:ln w="6350">
                              <a:noFill/>
                            </a:ln>
                          </wps:spPr>
                          <wps:txbx>
                            <w:txbxContent>
                              <w:p w14:paraId="52C5591D" w14:textId="77777777" w:rsidR="00E221DF" w:rsidRPr="00F67E43" w:rsidRDefault="00E221DF" w:rsidP="00CC3497">
                                <w:pPr>
                                  <w:pStyle w:val="Title"/>
                                  <w:spacing w:line="276" w:lineRule="auto"/>
                                  <w:jc w:val="left"/>
                                  <w:rPr>
                                    <w:rFonts w:cstheme="majorHAnsi"/>
                                    <w:b/>
                                    <w:bCs/>
                                    <w:color w:val="002060"/>
                                    <w:sz w:val="64"/>
                                    <w:szCs w:val="64"/>
                                    <w:lang w:val="en-US"/>
                                  </w:rPr>
                                </w:pPr>
                                <w:r w:rsidRPr="00F67E43">
                                  <w:rPr>
                                    <w:rFonts w:cstheme="majorHAnsi"/>
                                    <w:b/>
                                    <w:bCs/>
                                    <w:color w:val="002060"/>
                                    <w:sz w:val="64"/>
                                    <w:szCs w:val="64"/>
                                    <w:lang w:val="en-US"/>
                                  </w:rPr>
                                  <w:t>Enabling Sustainable Aviation Fuel (SAF) in the EU:</w:t>
                                </w:r>
                              </w:p>
                              <w:p w14:paraId="19137339" w14:textId="08CDBADC" w:rsidR="00E221DF" w:rsidRPr="00F67E43" w:rsidRDefault="00E221DF" w:rsidP="00CC3497">
                                <w:pPr>
                                  <w:pStyle w:val="Title"/>
                                  <w:spacing w:line="276" w:lineRule="auto"/>
                                  <w:jc w:val="left"/>
                                  <w:rPr>
                                    <w:rFonts w:cstheme="majorHAnsi"/>
                                    <w:color w:val="002060"/>
                                    <w:sz w:val="32"/>
                                    <w:szCs w:val="32"/>
                                    <w:lang w:val="en-US"/>
                                  </w:rPr>
                                </w:pPr>
                                <w:r w:rsidRPr="00F67E43">
                                  <w:rPr>
                                    <w:rFonts w:cstheme="majorHAnsi"/>
                                    <w:color w:val="002060"/>
                                    <w:sz w:val="52"/>
                                    <w:szCs w:val="52"/>
                                    <w:lang w:val="en-US"/>
                                  </w:rPr>
                                  <w:t>Evaluating technological pathways with a focus on direct air capture (DAC) technology</w:t>
                                </w:r>
                              </w:p>
                              <w:p w14:paraId="5BADD4A6" w14:textId="77777777" w:rsidR="00E221DF" w:rsidRDefault="00E221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914C8" id="_x0000_t202" coordsize="21600,21600" o:spt="202" path="m,l,21600r21600,l21600,xe">
                    <v:stroke joinstyle="miter"/>
                    <v:path gradientshapeok="t" o:connecttype="rect"/>
                  </v:shapetype>
                  <v:shape id="Text Box 11" o:spid="_x0000_s1026" type="#_x0000_t202" style="position:absolute;left:0;text-align:left;margin-left:-38.4pt;margin-top:-39.6pt;width:527.65pt;height:17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" fillcolor="white [3201]" stroked="f" strokeweight=".5pt">
                    <v:textbox>
                      <w:txbxContent>
                        <w:p w14:paraId="52C5591D" w14:textId="77777777" w:rsidR="00E221DF" w:rsidRPr="00F67E43" w:rsidRDefault="00E221DF" w:rsidP="00CC3497">
                          <w:pPr>
                            <w:pStyle w:val="Title"/>
                            <w:spacing w:line="276" w:lineRule="auto"/>
                            <w:jc w:val="left"/>
                            <w:rPr>
                              <w:rFonts w:cstheme="majorHAnsi"/>
                              <w:b/>
                              <w:bCs/>
                              <w:color w:val="002060"/>
                              <w:sz w:val="64"/>
                              <w:szCs w:val="64"/>
                              <w:lang w:val="en-US"/>
                            </w:rPr>
                          </w:pPr>
                          <w:r w:rsidRPr="00F67E43">
                            <w:rPr>
                              <w:rFonts w:cstheme="majorHAnsi"/>
                              <w:b/>
                              <w:bCs/>
                              <w:color w:val="002060"/>
                              <w:sz w:val="64"/>
                              <w:szCs w:val="64"/>
                              <w:lang w:val="en-US"/>
                            </w:rPr>
                            <w:t>Enabling Sustainable Aviation Fuel (SAF) in the EU:</w:t>
                          </w:r>
                        </w:p>
                        <w:p w14:paraId="19137339" w14:textId="08CDBADC" w:rsidR="00E221DF" w:rsidRPr="00F67E43" w:rsidRDefault="00E221DF" w:rsidP="00CC3497">
                          <w:pPr>
                            <w:pStyle w:val="Title"/>
                            <w:spacing w:line="276" w:lineRule="auto"/>
                            <w:jc w:val="left"/>
                            <w:rPr>
                              <w:rFonts w:cstheme="majorHAnsi"/>
                              <w:color w:val="002060"/>
                              <w:sz w:val="32"/>
                              <w:szCs w:val="32"/>
                              <w:lang w:val="en-US"/>
                            </w:rPr>
                          </w:pPr>
                          <w:r w:rsidRPr="00F67E43">
                            <w:rPr>
                              <w:rFonts w:cstheme="majorHAnsi"/>
                              <w:color w:val="002060"/>
                              <w:sz w:val="52"/>
                              <w:szCs w:val="52"/>
                              <w:lang w:val="en-US"/>
                            </w:rPr>
                            <w:t xml:space="preserve">Evaluating </w:t>
                          </w:r>
                          <w:r w:rsidRPr="00F67E43">
                            <w:rPr>
                              <w:rFonts w:cstheme="majorHAnsi"/>
                              <w:color w:val="002060"/>
                              <w:sz w:val="52"/>
                              <w:szCs w:val="52"/>
                              <w:lang w:val="en-US"/>
                            </w:rPr>
                            <w:t>t</w:t>
                          </w:r>
                          <w:r w:rsidRPr="00F67E43">
                            <w:rPr>
                              <w:rFonts w:cstheme="majorHAnsi"/>
                              <w:color w:val="002060"/>
                              <w:sz w:val="52"/>
                              <w:szCs w:val="52"/>
                              <w:lang w:val="en-US"/>
                            </w:rPr>
                            <w:t xml:space="preserve">echnological </w:t>
                          </w:r>
                          <w:r w:rsidRPr="00F67E43">
                            <w:rPr>
                              <w:rFonts w:cstheme="majorHAnsi"/>
                              <w:color w:val="002060"/>
                              <w:sz w:val="52"/>
                              <w:szCs w:val="52"/>
                              <w:lang w:val="en-US"/>
                            </w:rPr>
                            <w:t>p</w:t>
                          </w:r>
                          <w:r w:rsidRPr="00F67E43">
                            <w:rPr>
                              <w:rFonts w:cstheme="majorHAnsi"/>
                              <w:color w:val="002060"/>
                              <w:sz w:val="52"/>
                              <w:szCs w:val="52"/>
                              <w:lang w:val="en-US"/>
                            </w:rPr>
                            <w:t xml:space="preserve">athways with a </w:t>
                          </w:r>
                          <w:r w:rsidRPr="00F67E43">
                            <w:rPr>
                              <w:rFonts w:cstheme="majorHAnsi"/>
                              <w:color w:val="002060"/>
                              <w:sz w:val="52"/>
                              <w:szCs w:val="52"/>
                              <w:lang w:val="en-US"/>
                            </w:rPr>
                            <w:t>f</w:t>
                          </w:r>
                          <w:r w:rsidRPr="00F67E43">
                            <w:rPr>
                              <w:rFonts w:cstheme="majorHAnsi"/>
                              <w:color w:val="002060"/>
                              <w:sz w:val="52"/>
                              <w:szCs w:val="52"/>
                              <w:lang w:val="en-US"/>
                            </w:rPr>
                            <w:t xml:space="preserve">ocus on </w:t>
                          </w:r>
                          <w:r w:rsidRPr="00F67E43">
                            <w:rPr>
                              <w:rFonts w:cstheme="majorHAnsi"/>
                              <w:color w:val="002060"/>
                              <w:sz w:val="52"/>
                              <w:szCs w:val="52"/>
                              <w:lang w:val="en-US"/>
                            </w:rPr>
                            <w:t>d</w:t>
                          </w:r>
                          <w:r w:rsidRPr="00F67E43">
                            <w:rPr>
                              <w:rFonts w:cstheme="majorHAnsi"/>
                              <w:color w:val="002060"/>
                              <w:sz w:val="52"/>
                              <w:szCs w:val="52"/>
                              <w:lang w:val="en-US"/>
                            </w:rPr>
                            <w:t xml:space="preserve">irect </w:t>
                          </w:r>
                          <w:r w:rsidRPr="00F67E43">
                            <w:rPr>
                              <w:rFonts w:cstheme="majorHAnsi"/>
                              <w:color w:val="002060"/>
                              <w:sz w:val="52"/>
                              <w:szCs w:val="52"/>
                              <w:lang w:val="en-US"/>
                            </w:rPr>
                            <w:t>a</w:t>
                          </w:r>
                          <w:r w:rsidRPr="00F67E43">
                            <w:rPr>
                              <w:rFonts w:cstheme="majorHAnsi"/>
                              <w:color w:val="002060"/>
                              <w:sz w:val="52"/>
                              <w:szCs w:val="52"/>
                              <w:lang w:val="en-US"/>
                            </w:rPr>
                            <w:t xml:space="preserve">ir </w:t>
                          </w:r>
                          <w:r w:rsidRPr="00F67E43">
                            <w:rPr>
                              <w:rFonts w:cstheme="majorHAnsi"/>
                              <w:color w:val="002060"/>
                              <w:sz w:val="52"/>
                              <w:szCs w:val="52"/>
                              <w:lang w:val="en-US"/>
                            </w:rPr>
                            <w:t>c</w:t>
                          </w:r>
                          <w:r w:rsidRPr="00F67E43">
                            <w:rPr>
                              <w:rFonts w:cstheme="majorHAnsi"/>
                              <w:color w:val="002060"/>
                              <w:sz w:val="52"/>
                              <w:szCs w:val="52"/>
                              <w:lang w:val="en-US"/>
                            </w:rPr>
                            <w:t xml:space="preserve">apture (DAC) </w:t>
                          </w:r>
                          <w:r w:rsidRPr="00F67E43">
                            <w:rPr>
                              <w:rFonts w:cstheme="majorHAnsi"/>
                              <w:color w:val="002060"/>
                              <w:sz w:val="52"/>
                              <w:szCs w:val="52"/>
                              <w:lang w:val="en-US"/>
                            </w:rPr>
                            <w:t>t</w:t>
                          </w:r>
                          <w:r w:rsidRPr="00F67E43">
                            <w:rPr>
                              <w:rFonts w:cstheme="majorHAnsi"/>
                              <w:color w:val="002060"/>
                              <w:sz w:val="52"/>
                              <w:szCs w:val="52"/>
                              <w:lang w:val="en-US"/>
                            </w:rPr>
                            <w:t>echnology</w:t>
                          </w:r>
                        </w:p>
                        <w:p w14:paraId="5BADD4A6" w14:textId="77777777" w:rsidR="00E221DF" w:rsidRDefault="00E221DF"/>
                      </w:txbxContent>
                    </v:textbox>
                    <w10:wrap anchorx="margin"/>
                  </v:shape>
                </w:pict>
              </mc:Fallback>
            </mc:AlternateContent>
          </w:r>
        </w:p>
        <w:p w14:paraId="57C226F7" w14:textId="5CBB142B" w:rsidR="00182B55" w:rsidRDefault="00052205">
          <w:pPr>
            <w:spacing w:before="0" w:after="0"/>
            <w:jc w:val="left"/>
            <w:rPr>
              <w:rFonts w:asciiTheme="majorHAnsi" w:eastAsiaTheme="majorEastAsia" w:hAnsiTheme="majorHAnsi" w:cstheme="majorBidi"/>
              <w:spacing w:val="-10"/>
              <w:kern w:val="28"/>
              <w:sz w:val="56"/>
              <w:szCs w:val="56"/>
              <w:lang w:val="en-US"/>
            </w:rPr>
          </w:pPr>
          <w:r>
            <w:rPr>
              <w:noProof/>
            </w:rPr>
            <mc:AlternateContent>
              <mc:Choice Requires="wps">
                <w:drawing>
                  <wp:anchor distT="0" distB="0" distL="114300" distR="114300" simplePos="0" relativeHeight="251667456" behindDoc="0" locked="0" layoutInCell="1" allowOverlap="1" wp14:anchorId="100191DC" wp14:editId="3178D165">
                    <wp:simplePos x="0" y="0"/>
                    <wp:positionH relativeFrom="column">
                      <wp:posOffset>-793863</wp:posOffset>
                    </wp:positionH>
                    <wp:positionV relativeFrom="paragraph">
                      <wp:posOffset>2959100</wp:posOffset>
                    </wp:positionV>
                    <wp:extent cx="524656" cy="2265515"/>
                    <wp:effectExtent l="0" t="0" r="0" b="0"/>
                    <wp:wrapNone/>
                    <wp:docPr id="790713300" name="Text Box 16"/>
                    <wp:cNvGraphicFramePr/>
                    <a:graphic xmlns:a="http://schemas.openxmlformats.org/drawingml/2006/main">
                      <a:graphicData uri="http://schemas.microsoft.com/office/word/2010/wordprocessingShape">
                        <wps:wsp>
                          <wps:cNvSpPr txBox="1"/>
                          <wps:spPr>
                            <a:xfrm rot="10800000">
                              <a:off x="0" y="0"/>
                              <a:ext cx="524656" cy="2265515"/>
                            </a:xfrm>
                            <a:prstGeom prst="rect">
                              <a:avLst/>
                            </a:prstGeom>
                            <a:noFill/>
                            <a:ln w="6350">
                              <a:noFill/>
                            </a:ln>
                          </wps:spPr>
                          <wps:txbx>
                            <w:txbxContent>
                              <w:p w14:paraId="2DCF8B06" w14:textId="28356CC5" w:rsidR="00052205" w:rsidRPr="00341969" w:rsidRDefault="00052205">
                                <w:pPr>
                                  <w:rPr>
                                    <w:rFonts w:asciiTheme="majorHAnsi" w:hAnsiTheme="majorHAnsi" w:cstheme="majorHAnsi"/>
                                    <w:color w:val="FFFFFF" w:themeColor="background1"/>
                                    <w:sz w:val="28"/>
                                    <w:szCs w:val="28"/>
                                  </w:rPr>
                                </w:pPr>
                                <w:r w:rsidRPr="00341969">
                                  <w:rPr>
                                    <w:rFonts w:asciiTheme="majorHAnsi" w:hAnsiTheme="majorHAnsi" w:cstheme="majorHAnsi"/>
                                    <w:color w:val="FFFFFF" w:themeColor="background1"/>
                                    <w:sz w:val="28"/>
                                    <w:szCs w:val="28"/>
                                  </w:rPr>
                                  <w:t>Delft University of Technology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91DC" id="Text Box 16" o:spid="_x0000_s1027" type="#_x0000_t202" style="position:absolute;margin-left:-62.5pt;margin-top:233pt;width:41.3pt;height:178.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" filled="f" stroked="f" strokeweight=".5pt">
                    <v:textbox style="layout-flow:vertical-ideographic">
                      <w:txbxContent>
                        <w:p w14:paraId="2DCF8B06" w14:textId="28356CC5" w:rsidR="00052205" w:rsidRPr="00341969" w:rsidRDefault="00052205">
                          <w:pPr>
                            <w:rPr>
                              <w:rFonts w:asciiTheme="majorHAnsi" w:hAnsiTheme="majorHAnsi" w:cstheme="majorHAnsi"/>
                              <w:color w:val="FFFFFF" w:themeColor="background1"/>
                              <w:sz w:val="28"/>
                              <w:szCs w:val="28"/>
                            </w:rPr>
                          </w:pPr>
                          <w:r w:rsidRPr="00341969">
                            <w:rPr>
                              <w:rFonts w:asciiTheme="majorHAnsi" w:hAnsiTheme="majorHAnsi" w:cstheme="majorHAnsi"/>
                              <w:color w:val="FFFFFF" w:themeColor="background1"/>
                              <w:sz w:val="28"/>
                              <w:szCs w:val="28"/>
                            </w:rPr>
                            <w:t>Delft University of Technology</w:t>
                          </w:r>
                        </w:p>
                      </w:txbxContent>
                    </v:textbox>
                  </v:shape>
                </w:pict>
              </mc:Fallback>
            </mc:AlternateContent>
          </w:r>
          <w:r w:rsidR="00EC23E6">
            <w:rPr>
              <w:noProof/>
            </w:rPr>
            <w:drawing>
              <wp:anchor distT="0" distB="0" distL="114300" distR="114300" simplePos="0" relativeHeight="251666432" behindDoc="0" locked="0" layoutInCell="1" allowOverlap="1" wp14:anchorId="4A386CF2" wp14:editId="2320FB0F">
                <wp:simplePos x="0" y="0"/>
                <wp:positionH relativeFrom="column">
                  <wp:posOffset>-476885</wp:posOffset>
                </wp:positionH>
                <wp:positionV relativeFrom="paragraph">
                  <wp:posOffset>8354695</wp:posOffset>
                </wp:positionV>
                <wp:extent cx="1929216" cy="1192641"/>
                <wp:effectExtent l="0" t="0" r="0" b="0"/>
                <wp:wrapNone/>
                <wp:docPr id="250347692" name="Picture 15" descr="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216" cy="1192641"/>
                        </a:xfrm>
                        <a:prstGeom prst="rect">
                          <a:avLst/>
                        </a:prstGeom>
                        <a:noFill/>
                        <a:ln>
                          <a:noFill/>
                        </a:ln>
                      </pic:spPr>
                    </pic:pic>
                  </a:graphicData>
                </a:graphic>
                <wp14:sizeRelH relativeFrom="page">
                  <wp14:pctWidth>0</wp14:pctWidth>
                </wp14:sizeRelH>
                <wp14:sizeRelV relativeFrom="page">
                  <wp14:pctHeight>0</wp14:pctHeight>
                </wp14:sizeRelV>
              </wp:anchor>
            </w:drawing>
          </w:r>
          <w:r w:rsidR="00EC23E6">
            <w:fldChar w:fldCharType="begin"/>
          </w:r>
          <w:r w:rsidR="00EC23E6">
            <w:instrText xml:space="preserve"> INCLUDEPICTURE "https://filelist.tudelft.nl/Library/Themaportalen/Open.tudelft.nl/publishing/logos/TUDelft-logo_white.png" \* MERGEFORMATINET </w:instrText>
          </w:r>
          <w:r w:rsidR="00EC23E6">
            <w:fldChar w:fldCharType="separate"/>
          </w:r>
          <w:r w:rsidR="00EC23E6">
            <w:rPr>
              <w:noProof/>
            </w:rPr>
            <w:drawing>
              <wp:inline distT="0" distB="0" distL="0" distR="0" wp14:anchorId="66078474" wp14:editId="364F8D21">
                <wp:extent cx="3279775" cy="2027555"/>
                <wp:effectExtent l="0" t="0" r="0" b="0"/>
                <wp:docPr id="1850238135" name="Picture 14" descr="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775" cy="2027555"/>
                        </a:xfrm>
                        <a:prstGeom prst="rect">
                          <a:avLst/>
                        </a:prstGeom>
                        <a:noFill/>
                        <a:ln>
                          <a:noFill/>
                        </a:ln>
                      </pic:spPr>
                    </pic:pic>
                  </a:graphicData>
                </a:graphic>
              </wp:inline>
            </w:drawing>
          </w:r>
          <w:r w:rsidR="00EC23E6">
            <w:fldChar w:fldCharType="end"/>
          </w:r>
          <w:r w:rsidR="00EC23E6" w:rsidRPr="00EC23E6">
            <w:t xml:space="preserve"> </w:t>
          </w:r>
          <w:r w:rsidR="00EC23E6">
            <w:fldChar w:fldCharType="begin"/>
          </w:r>
          <w:r w:rsidR="00EC23E6">
            <w:instrText xml:space="preserve"> INCLUDEPICTURE "https://filelist.tudelft.nl/Library/Themaportalen/Open.tudelft.nl/publishing/logos/TUDelft-logo_white.png" \* MERGEFORMATINET </w:instrText>
          </w:r>
          <w:r w:rsidR="00EC23E6">
            <w:fldChar w:fldCharType="separate"/>
          </w:r>
          <w:r w:rsidR="00EC23E6">
            <w:fldChar w:fldCharType="end"/>
          </w:r>
          <w:r w:rsidR="00942919">
            <w:rPr>
              <w:noProof/>
            </w:rPr>
            <mc:AlternateContent>
              <mc:Choice Requires="wps">
                <w:drawing>
                  <wp:anchor distT="0" distB="0" distL="114300" distR="114300" simplePos="0" relativeHeight="251665408" behindDoc="0" locked="0" layoutInCell="1" allowOverlap="1" wp14:anchorId="508E396E" wp14:editId="434C2838">
                    <wp:simplePos x="0" y="0"/>
                    <wp:positionH relativeFrom="column">
                      <wp:posOffset>-481965</wp:posOffset>
                    </wp:positionH>
                    <wp:positionV relativeFrom="paragraph">
                      <wp:posOffset>1748155</wp:posOffset>
                    </wp:positionV>
                    <wp:extent cx="3707476" cy="631768"/>
                    <wp:effectExtent l="0" t="0" r="0" b="0"/>
                    <wp:wrapNone/>
                    <wp:docPr id="1929881884" name="Text Box 12"/>
                    <wp:cNvGraphicFramePr/>
                    <a:graphic xmlns:a="http://schemas.openxmlformats.org/drawingml/2006/main">
                      <a:graphicData uri="http://schemas.microsoft.com/office/word/2010/wordprocessingShape">
                        <wps:wsp>
                          <wps:cNvSpPr txBox="1"/>
                          <wps:spPr>
                            <a:xfrm>
                              <a:off x="0" y="0"/>
                              <a:ext cx="3707476" cy="631768"/>
                            </a:xfrm>
                            <a:prstGeom prst="rect">
                              <a:avLst/>
                            </a:prstGeom>
                            <a:noFill/>
                            <a:ln w="6350">
                              <a:noFill/>
                            </a:ln>
                          </wps:spPr>
                          <wps:txbx>
                            <w:txbxContent>
                              <w:p w14:paraId="14FD99FC" w14:textId="0AF299CF" w:rsidR="00942919" w:rsidRPr="00F67E43" w:rsidRDefault="00942919">
                                <w:pPr>
                                  <w:rPr>
                                    <w:rFonts w:asciiTheme="majorHAnsi" w:hAnsiTheme="majorHAnsi" w:cstheme="majorHAnsi"/>
                                    <w:color w:val="002060"/>
                                    <w:sz w:val="40"/>
                                    <w:szCs w:val="40"/>
                                  </w:rPr>
                                </w:pPr>
                                <w:r w:rsidRPr="00F67E43">
                                  <w:rPr>
                                    <w:rFonts w:asciiTheme="majorHAnsi" w:hAnsiTheme="majorHAnsi" w:cstheme="majorHAnsi"/>
                                    <w:color w:val="002060"/>
                                    <w:sz w:val="40"/>
                                    <w:szCs w:val="40"/>
                                  </w:rPr>
                                  <w:t>Taeke Tamsma</w:t>
                                </w:r>
                              </w:p>
                              <w:p w14:paraId="5369D5E8" w14:textId="77777777" w:rsidR="00942919" w:rsidRDefault="00942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E396E" id="Text Box 12" o:spid="_x0000_s1028" type="#_x0000_t202" style="position:absolute;margin-left:-37.95pt;margin-top:137.65pt;width:291.95pt;height:4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" filled="f" stroked="f" strokeweight=".5pt">
                    <v:textbox>
                      <w:txbxContent>
                        <w:p w14:paraId="14FD99FC" w14:textId="0AF299CF" w:rsidR="00942919" w:rsidRPr="00F67E43" w:rsidRDefault="00942919">
                          <w:pPr>
                            <w:rPr>
                              <w:rFonts w:asciiTheme="majorHAnsi" w:hAnsiTheme="majorHAnsi" w:cstheme="majorHAnsi"/>
                              <w:color w:val="002060"/>
                              <w:sz w:val="40"/>
                              <w:szCs w:val="40"/>
                            </w:rPr>
                          </w:pPr>
                          <w:r w:rsidRPr="00F67E43">
                            <w:rPr>
                              <w:rFonts w:asciiTheme="majorHAnsi" w:hAnsiTheme="majorHAnsi" w:cstheme="majorHAnsi"/>
                              <w:color w:val="002060"/>
                              <w:sz w:val="40"/>
                              <w:szCs w:val="40"/>
                            </w:rPr>
                            <w:t>Taeke Tamsma</w:t>
                          </w:r>
                        </w:p>
                        <w:p w14:paraId="5369D5E8" w14:textId="77777777" w:rsidR="00942919" w:rsidRDefault="00942919"/>
                      </w:txbxContent>
                    </v:textbox>
                  </v:shape>
                </w:pict>
              </mc:Fallback>
            </mc:AlternateContent>
          </w:r>
          <w:r w:rsidR="00453C13">
            <w:rPr>
              <w:noProof/>
            </w:rPr>
            <mc:AlternateContent>
              <mc:Choice Requires="wps">
                <w:drawing>
                  <wp:anchor distT="0" distB="0" distL="114300" distR="114300" simplePos="0" relativeHeight="251663360" behindDoc="0" locked="0" layoutInCell="1" allowOverlap="1" wp14:anchorId="1DAE74A7" wp14:editId="1F88CF5D">
                    <wp:simplePos x="0" y="0"/>
                    <wp:positionH relativeFrom="column">
                      <wp:posOffset>-1239520</wp:posOffset>
                    </wp:positionH>
                    <wp:positionV relativeFrom="paragraph">
                      <wp:posOffset>1599565</wp:posOffset>
                    </wp:positionV>
                    <wp:extent cx="8194431" cy="913814"/>
                    <wp:effectExtent l="0" t="0" r="0" b="635"/>
                    <wp:wrapNone/>
                    <wp:docPr id="509723970" name="Rectangle 10"/>
                    <wp:cNvGraphicFramePr/>
                    <a:graphic xmlns:a="http://schemas.openxmlformats.org/drawingml/2006/main">
                      <a:graphicData uri="http://schemas.microsoft.com/office/word/2010/wordprocessingShape">
                        <wps:wsp>
                          <wps:cNvSpPr/>
                          <wps:spPr>
                            <a:xfrm>
                              <a:off x="0" y="0"/>
                              <a:ext cx="8194431" cy="913814"/>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361CF5" id="Rectangle 10" o:spid="_x0000_s1026" style="position:absolute;margin-left:-97.6pt;margin-top:125.95pt;width:645.25pt;height:7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" fillcolor="#d9e2f3 [660]" stroked="f" strokeweight="1pt"/>
                </w:pict>
              </mc:Fallback>
            </mc:AlternateContent>
          </w:r>
          <w:r w:rsidR="00453C13">
            <w:rPr>
              <w:noProof/>
            </w:rPr>
            <w:drawing>
              <wp:anchor distT="0" distB="0" distL="114300" distR="114300" simplePos="0" relativeHeight="251662336" behindDoc="1" locked="0" layoutInCell="1" allowOverlap="1" wp14:anchorId="6B691DD3" wp14:editId="34F332A7">
                <wp:simplePos x="0" y="0"/>
                <wp:positionH relativeFrom="column">
                  <wp:posOffset>-3457303</wp:posOffset>
                </wp:positionH>
                <wp:positionV relativeFrom="paragraph">
                  <wp:posOffset>2497455</wp:posOffset>
                </wp:positionV>
                <wp:extent cx="10398034" cy="6924727"/>
                <wp:effectExtent l="0" t="0" r="3810" b="0"/>
                <wp:wrapNone/>
                <wp:docPr id="697784403" name="Picture 5" descr="Sustainable aviation fuel is taking off | Features | gas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tainable aviation fuel is taking off | Features | gaswor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8034" cy="6924727"/>
                        </a:xfrm>
                        <a:prstGeom prst="rect">
                          <a:avLst/>
                        </a:prstGeom>
                        <a:noFill/>
                        <a:ln>
                          <a:noFill/>
                        </a:ln>
                      </pic:spPr>
                    </pic:pic>
                  </a:graphicData>
                </a:graphic>
                <wp14:sizeRelH relativeFrom="page">
                  <wp14:pctWidth>0</wp14:pctWidth>
                </wp14:sizeRelH>
                <wp14:sizeRelV relativeFrom="page">
                  <wp14:pctHeight>0</wp14:pctHeight>
                </wp14:sizeRelV>
              </wp:anchor>
            </w:drawing>
          </w:r>
          <w:r w:rsidR="006C0E05">
            <w:fldChar w:fldCharType="begin"/>
          </w:r>
          <w:r w:rsidR="006C0E05">
            <w:instrText xml:space="preserve"> INCLUDEPICTURE "https://www.gasworld.com/wp-content/files/2023/12/shutterstock_2325779443.jpg" \* MERGEFORMATINET </w:instrText>
          </w:r>
          <w:r w:rsidR="006C0E05">
            <w:fldChar w:fldCharType="separate"/>
          </w:r>
          <w:r w:rsidR="006C0E05">
            <w:fldChar w:fldCharType="end"/>
          </w:r>
          <w:r w:rsidR="00796DF3">
            <w:fldChar w:fldCharType="begin"/>
          </w:r>
          <w:r w:rsidR="00796DF3">
            <w:instrText xml:space="preserve"> INCLUDEPICTURE "https://aerospaceglobalnews.com/wp-content/uploads/2024/06/AdobeStock_786941246-scaled-1.jpeg" \* MERGEFORMATINET </w:instrText>
          </w:r>
          <w:r w:rsidR="00796DF3">
            <w:fldChar w:fldCharType="separate"/>
          </w:r>
          <w:r w:rsidR="00796DF3">
            <w:fldChar w:fldCharType="end"/>
          </w:r>
          <w:r w:rsidR="00182B55">
            <w:rPr>
              <w:lang w:val="en-US"/>
            </w:rPr>
            <w:br w:type="page"/>
          </w:r>
        </w:p>
      </w:sdtContent>
    </w:sdt>
    <w:p w14:paraId="55C031D6" w14:textId="57078D3C" w:rsidR="00D3102B" w:rsidRPr="00415A99" w:rsidRDefault="00AA30C1" w:rsidP="00D3102B">
      <w:pPr>
        <w:pStyle w:val="Title"/>
        <w:jc w:val="center"/>
        <w:rPr>
          <w:sz w:val="32"/>
          <w:szCs w:val="32"/>
          <w:lang w:val="en-US"/>
        </w:rPr>
      </w:pPr>
      <w:r w:rsidRPr="00415A99">
        <w:rPr>
          <w:sz w:val="52"/>
          <w:szCs w:val="52"/>
          <w:lang w:val="en-US"/>
        </w:rPr>
        <w:lastRenderedPageBreak/>
        <w:t>Enabling</w:t>
      </w:r>
      <w:r w:rsidR="006971F5" w:rsidRPr="00415A99">
        <w:rPr>
          <w:sz w:val="52"/>
          <w:szCs w:val="52"/>
          <w:lang w:val="en-US"/>
        </w:rPr>
        <w:t xml:space="preserve"> </w:t>
      </w:r>
      <w:r w:rsidRPr="00415A99">
        <w:rPr>
          <w:sz w:val="52"/>
          <w:szCs w:val="52"/>
          <w:lang w:val="en-US"/>
        </w:rPr>
        <w:t>S</w:t>
      </w:r>
      <w:r w:rsidR="006971F5" w:rsidRPr="00415A99">
        <w:rPr>
          <w:sz w:val="52"/>
          <w:szCs w:val="52"/>
          <w:lang w:val="en-US"/>
        </w:rPr>
        <w:t xml:space="preserve">ustainable </w:t>
      </w:r>
      <w:r w:rsidRPr="00415A99">
        <w:rPr>
          <w:sz w:val="52"/>
          <w:szCs w:val="52"/>
          <w:lang w:val="en-US"/>
        </w:rPr>
        <w:t>A</w:t>
      </w:r>
      <w:r w:rsidR="00AE3E69" w:rsidRPr="00415A99">
        <w:rPr>
          <w:sz w:val="52"/>
          <w:szCs w:val="52"/>
          <w:lang w:val="en-US"/>
        </w:rPr>
        <w:t xml:space="preserve">viation Fuel (SAF) </w:t>
      </w:r>
      <w:r w:rsidR="00597BA6" w:rsidRPr="00415A99">
        <w:rPr>
          <w:sz w:val="52"/>
          <w:szCs w:val="52"/>
          <w:lang w:val="en-US"/>
        </w:rPr>
        <w:t xml:space="preserve">in </w:t>
      </w:r>
      <w:r w:rsidR="00A7398E" w:rsidRPr="00415A99">
        <w:rPr>
          <w:sz w:val="52"/>
          <w:szCs w:val="52"/>
          <w:lang w:val="en-US"/>
        </w:rPr>
        <w:t>t</w:t>
      </w:r>
      <w:r w:rsidR="00597BA6" w:rsidRPr="00415A99">
        <w:rPr>
          <w:sz w:val="52"/>
          <w:szCs w:val="52"/>
          <w:lang w:val="en-US"/>
        </w:rPr>
        <w:t xml:space="preserve">he EU: </w:t>
      </w:r>
      <w:bookmarkStart w:id="0" w:name="_Hlk176941263"/>
      <w:bookmarkEnd w:id="0"/>
      <w:r w:rsidR="00C4758E" w:rsidRPr="00415A99">
        <w:rPr>
          <w:sz w:val="52"/>
          <w:szCs w:val="52"/>
          <w:lang w:val="en-US"/>
        </w:rPr>
        <w:t xml:space="preserve">Evaluating Technological Pathways </w:t>
      </w:r>
      <w:r w:rsidR="00C00925" w:rsidRPr="00415A99">
        <w:rPr>
          <w:sz w:val="52"/>
          <w:szCs w:val="52"/>
          <w:lang w:val="en-US"/>
        </w:rPr>
        <w:t>with a</w:t>
      </w:r>
      <w:r w:rsidR="00597BA6" w:rsidRPr="00415A99">
        <w:rPr>
          <w:sz w:val="52"/>
          <w:szCs w:val="52"/>
          <w:lang w:val="en-US"/>
        </w:rPr>
        <w:t xml:space="preserve"> Focus on Direct Air Capture (DAC) Technology</w:t>
      </w:r>
    </w:p>
    <w:p w14:paraId="2AF05442" w14:textId="77777777" w:rsidR="00D3102B" w:rsidRPr="00670221" w:rsidRDefault="00D3102B" w:rsidP="00D3102B">
      <w:pPr>
        <w:rPr>
          <w:lang w:val="en-US"/>
        </w:rPr>
      </w:pPr>
    </w:p>
    <w:p w14:paraId="46AB779D" w14:textId="1F7B441C" w:rsidR="00502C92" w:rsidRDefault="00502C92" w:rsidP="00180271">
      <w:pPr>
        <w:pStyle w:val="Title"/>
        <w:jc w:val="center"/>
        <w:rPr>
          <w:rFonts w:cstheme="majorHAnsi"/>
          <w:sz w:val="36"/>
          <w:szCs w:val="36"/>
          <w:lang w:val="en-US"/>
        </w:rPr>
      </w:pPr>
      <w:r w:rsidRPr="00670221">
        <w:rPr>
          <w:rFonts w:cstheme="majorHAnsi"/>
          <w:sz w:val="36"/>
          <w:szCs w:val="36"/>
          <w:lang w:val="en-US"/>
        </w:rPr>
        <w:t>Master Thesis</w:t>
      </w:r>
    </w:p>
    <w:p w14:paraId="34DC7047" w14:textId="77777777" w:rsidR="00415A99" w:rsidRPr="00415A99" w:rsidRDefault="00415A99" w:rsidP="00415A99">
      <w:pPr>
        <w:rPr>
          <w:lang w:val="en-US"/>
        </w:rPr>
      </w:pPr>
    </w:p>
    <w:p w14:paraId="45FB2DDA" w14:textId="53436B63" w:rsidR="00502C92" w:rsidRPr="00670221" w:rsidRDefault="00502C92" w:rsidP="00502C92">
      <w:pPr>
        <w:jc w:val="center"/>
        <w:rPr>
          <w:rFonts w:asciiTheme="majorHAnsi" w:hAnsiTheme="majorHAnsi" w:cstheme="majorHAnsi"/>
          <w:sz w:val="36"/>
          <w:szCs w:val="36"/>
          <w:lang w:val="en-US"/>
        </w:rPr>
      </w:pPr>
      <w:r w:rsidRPr="00670221">
        <w:rPr>
          <w:rFonts w:asciiTheme="majorHAnsi" w:hAnsiTheme="majorHAnsi" w:cstheme="majorHAnsi"/>
          <w:lang w:val="en-US"/>
        </w:rPr>
        <w:t>By</w:t>
      </w:r>
    </w:p>
    <w:p w14:paraId="5A695064" w14:textId="77777777" w:rsidR="00502C92" w:rsidRPr="00670221" w:rsidRDefault="00502C92" w:rsidP="00502C92">
      <w:pPr>
        <w:jc w:val="center"/>
        <w:rPr>
          <w:rFonts w:asciiTheme="majorHAnsi" w:hAnsiTheme="majorHAnsi" w:cstheme="majorHAnsi"/>
          <w:sz w:val="36"/>
          <w:szCs w:val="36"/>
          <w:lang w:val="en-US"/>
        </w:rPr>
      </w:pPr>
    </w:p>
    <w:p w14:paraId="2E9B6F7F" w14:textId="3EA3AA1D" w:rsidR="00502C92" w:rsidRPr="00180271" w:rsidRDefault="00502C92" w:rsidP="00180271">
      <w:pPr>
        <w:jc w:val="center"/>
        <w:rPr>
          <w:rFonts w:asciiTheme="majorHAnsi" w:hAnsiTheme="majorHAnsi" w:cstheme="majorHAnsi"/>
          <w:sz w:val="36"/>
          <w:szCs w:val="36"/>
          <w:lang w:val="en-US"/>
        </w:rPr>
      </w:pPr>
      <w:proofErr w:type="spellStart"/>
      <w:r w:rsidRPr="00670221">
        <w:rPr>
          <w:rFonts w:asciiTheme="majorHAnsi" w:hAnsiTheme="majorHAnsi" w:cstheme="majorHAnsi"/>
          <w:sz w:val="36"/>
          <w:szCs w:val="36"/>
          <w:lang w:val="en-US"/>
        </w:rPr>
        <w:t>Taeke</w:t>
      </w:r>
      <w:proofErr w:type="spellEnd"/>
      <w:r w:rsidRPr="00670221">
        <w:rPr>
          <w:rFonts w:asciiTheme="majorHAnsi" w:hAnsiTheme="majorHAnsi" w:cstheme="majorHAnsi"/>
          <w:sz w:val="36"/>
          <w:szCs w:val="36"/>
          <w:lang w:val="en-US"/>
        </w:rPr>
        <w:t xml:space="preserve"> </w:t>
      </w:r>
      <w:proofErr w:type="spellStart"/>
      <w:r w:rsidRPr="00670221">
        <w:rPr>
          <w:rFonts w:asciiTheme="majorHAnsi" w:hAnsiTheme="majorHAnsi" w:cstheme="majorHAnsi"/>
          <w:sz w:val="36"/>
          <w:szCs w:val="36"/>
          <w:lang w:val="en-US"/>
        </w:rPr>
        <w:t>Tamsma</w:t>
      </w:r>
      <w:proofErr w:type="spellEnd"/>
    </w:p>
    <w:p w14:paraId="72D22203" w14:textId="4B2B12B0" w:rsidR="00502C92" w:rsidRDefault="00502C92" w:rsidP="00825990">
      <w:pPr>
        <w:jc w:val="center"/>
        <w:rPr>
          <w:rFonts w:cstheme="minorHAnsi"/>
          <w:b/>
          <w:bCs/>
          <w:lang w:val="en-US"/>
        </w:rPr>
      </w:pPr>
      <w:r w:rsidRPr="00670221">
        <w:rPr>
          <w:rStyle w:val="Strong"/>
          <w:lang w:val="en-US"/>
        </w:rPr>
        <w:t>Student number</w:t>
      </w:r>
      <w:r w:rsidRPr="00670221">
        <w:rPr>
          <w:rFonts w:cstheme="minorHAnsi"/>
          <w:b/>
          <w:bCs/>
          <w:lang w:val="en-US"/>
        </w:rPr>
        <w:t xml:space="preserve">: </w:t>
      </w:r>
      <w:r w:rsidRPr="00670221">
        <w:rPr>
          <w:rFonts w:cstheme="minorHAnsi"/>
          <w:lang w:val="en-US"/>
        </w:rPr>
        <w:t>5655994</w:t>
      </w:r>
    </w:p>
    <w:p w14:paraId="31646D18" w14:textId="77777777" w:rsidR="00931DAB" w:rsidRDefault="00931DAB" w:rsidP="00502C92">
      <w:pPr>
        <w:spacing w:line="360" w:lineRule="auto"/>
        <w:jc w:val="center"/>
        <w:rPr>
          <w:rFonts w:cstheme="minorHAnsi"/>
          <w:b/>
          <w:bCs/>
          <w:lang w:val="en-US"/>
        </w:rPr>
      </w:pPr>
    </w:p>
    <w:p w14:paraId="04ADB3E5" w14:textId="77777777" w:rsidR="00931DAB" w:rsidRPr="00670221" w:rsidRDefault="00931DAB" w:rsidP="00502C92">
      <w:pPr>
        <w:spacing w:line="360" w:lineRule="auto"/>
        <w:jc w:val="center"/>
        <w:rPr>
          <w:rFonts w:cstheme="minorHAnsi"/>
          <w:b/>
          <w:bCs/>
          <w:lang w:val="en-US"/>
        </w:rPr>
      </w:pPr>
    </w:p>
    <w:p w14:paraId="330EF127" w14:textId="645D62AE" w:rsidR="00502C92" w:rsidRPr="00670221" w:rsidRDefault="00502C92" w:rsidP="00D152B3">
      <w:pPr>
        <w:jc w:val="center"/>
        <w:rPr>
          <w:rFonts w:cstheme="minorHAnsi"/>
          <w:lang w:val="en-US"/>
        </w:rPr>
      </w:pPr>
      <w:r w:rsidRPr="00670221">
        <w:rPr>
          <w:rFonts w:cstheme="minorHAnsi"/>
          <w:lang w:val="en-US"/>
        </w:rPr>
        <w:t xml:space="preserve">submitted to obtain the degree of </w:t>
      </w:r>
      <w:r w:rsidR="00EC56A6" w:rsidRPr="00EC56A6">
        <w:rPr>
          <w:rFonts w:cstheme="minorHAnsi"/>
          <w:b/>
          <w:bCs/>
          <w:lang w:val="en-US"/>
        </w:rPr>
        <w:t xml:space="preserve">MASTER OF </w:t>
      </w:r>
      <w:r w:rsidR="00415A99" w:rsidRPr="00EC56A6">
        <w:rPr>
          <w:rFonts w:cstheme="minorHAnsi"/>
          <w:b/>
          <w:bCs/>
          <w:lang w:val="en-US"/>
        </w:rPr>
        <w:t>SCIENCE</w:t>
      </w:r>
      <w:r w:rsidR="00415A99">
        <w:rPr>
          <w:rFonts w:cstheme="minorHAnsi"/>
          <w:lang w:val="en-US"/>
        </w:rPr>
        <w:t xml:space="preserve"> </w:t>
      </w:r>
      <w:r w:rsidR="00415A99" w:rsidRPr="00670221">
        <w:rPr>
          <w:rFonts w:cstheme="minorHAnsi"/>
          <w:lang w:val="en-US"/>
        </w:rPr>
        <w:t>in</w:t>
      </w:r>
    </w:p>
    <w:p w14:paraId="5F46211C" w14:textId="77777777" w:rsidR="00502C92" w:rsidRPr="00670221" w:rsidRDefault="00502C92" w:rsidP="00D152B3">
      <w:pPr>
        <w:jc w:val="center"/>
        <w:rPr>
          <w:rStyle w:val="Strong"/>
          <w:lang w:val="en-US"/>
        </w:rPr>
      </w:pPr>
      <w:r w:rsidRPr="00670221">
        <w:rPr>
          <w:rStyle w:val="Strong"/>
          <w:lang w:val="en-US"/>
        </w:rPr>
        <w:t>Complex Systems Engineering and Management,</w:t>
      </w:r>
    </w:p>
    <w:p w14:paraId="20711500" w14:textId="25D753BC" w:rsidR="00502C92" w:rsidRPr="00670221" w:rsidRDefault="00502C92" w:rsidP="00D152B3">
      <w:pPr>
        <w:jc w:val="center"/>
        <w:rPr>
          <w:rFonts w:cstheme="minorHAnsi"/>
          <w:lang w:val="en-US"/>
        </w:rPr>
      </w:pPr>
      <w:r w:rsidRPr="00670221">
        <w:rPr>
          <w:rFonts w:cstheme="minorHAnsi"/>
          <w:lang w:val="en-US"/>
        </w:rPr>
        <w:t xml:space="preserve">Faculty of Technology, </w:t>
      </w:r>
      <w:r w:rsidR="000447C2" w:rsidRPr="00670221">
        <w:rPr>
          <w:rFonts w:cstheme="minorHAnsi"/>
          <w:lang w:val="en-US"/>
        </w:rPr>
        <w:t>Policy,</w:t>
      </w:r>
      <w:r w:rsidRPr="00670221">
        <w:rPr>
          <w:rFonts w:cstheme="minorHAnsi"/>
          <w:lang w:val="en-US"/>
        </w:rPr>
        <w:t xml:space="preserve"> and Management</w:t>
      </w:r>
    </w:p>
    <w:p w14:paraId="2D3F7512" w14:textId="6CF1046C" w:rsidR="00502C92" w:rsidRPr="00670221" w:rsidRDefault="00502C92" w:rsidP="00D152B3">
      <w:pPr>
        <w:jc w:val="center"/>
        <w:rPr>
          <w:rFonts w:cstheme="minorHAnsi"/>
          <w:lang w:val="en-US"/>
        </w:rPr>
      </w:pPr>
      <w:r w:rsidRPr="00670221">
        <w:rPr>
          <w:rFonts w:cstheme="minorHAnsi"/>
          <w:lang w:val="en-US"/>
        </w:rPr>
        <w:t>at the Delft University of Technology,</w:t>
      </w:r>
      <w:r w:rsidR="00180271" w:rsidRPr="00180271">
        <w:rPr>
          <w:lang w:val="en-US"/>
        </w:rPr>
        <w:t xml:space="preserve"> </w:t>
      </w:r>
    </w:p>
    <w:p w14:paraId="05AC440A" w14:textId="79E53D57" w:rsidR="00502C92" w:rsidRDefault="00502C92" w:rsidP="00D152B3">
      <w:pPr>
        <w:jc w:val="center"/>
        <w:rPr>
          <w:rFonts w:cstheme="minorHAnsi"/>
          <w:lang w:val="en-US"/>
        </w:rPr>
      </w:pPr>
      <w:r w:rsidRPr="00670221">
        <w:rPr>
          <w:rFonts w:cstheme="minorHAnsi"/>
          <w:lang w:val="en-US"/>
        </w:rPr>
        <w:t>to be defended on</w:t>
      </w:r>
      <w:r w:rsidR="001B77B3">
        <w:rPr>
          <w:rFonts w:cstheme="minorHAnsi"/>
          <w:lang w:val="en-US"/>
        </w:rPr>
        <w:t xml:space="preserve"> 13-12-2024</w:t>
      </w:r>
    </w:p>
    <w:p w14:paraId="0E07BC91" w14:textId="77777777" w:rsidR="00FE564D" w:rsidRDefault="00FE564D" w:rsidP="002A704F">
      <w:pPr>
        <w:spacing w:line="360" w:lineRule="auto"/>
        <w:jc w:val="center"/>
        <w:rPr>
          <w:rFonts w:cstheme="minorHAnsi"/>
          <w:lang w:val="en-US"/>
        </w:rPr>
      </w:pPr>
    </w:p>
    <w:p w14:paraId="7389DB7B" w14:textId="77777777" w:rsidR="00825990" w:rsidRDefault="00825990" w:rsidP="002A704F">
      <w:pPr>
        <w:spacing w:line="360" w:lineRule="auto"/>
        <w:jc w:val="center"/>
        <w:rPr>
          <w:rFonts w:cstheme="minorHAnsi"/>
          <w:lang w:val="en-US"/>
        </w:rPr>
      </w:pPr>
    </w:p>
    <w:p w14:paraId="1336FFC7" w14:textId="569B3BFB" w:rsidR="00FE564D" w:rsidRPr="00FE564D" w:rsidRDefault="00FE564D" w:rsidP="00FE564D">
      <w:pPr>
        <w:jc w:val="center"/>
        <w:rPr>
          <w:rFonts w:cstheme="minorHAnsi"/>
          <w:b/>
          <w:bCs/>
          <w:lang w:val="en-US"/>
        </w:rPr>
      </w:pPr>
      <w:r w:rsidRPr="00FE564D">
        <w:rPr>
          <w:rFonts w:cstheme="minorHAnsi"/>
          <w:b/>
          <w:bCs/>
          <w:lang w:val="en-US"/>
        </w:rPr>
        <w:t xml:space="preserve">Graduation Committee </w:t>
      </w:r>
    </w:p>
    <w:p w14:paraId="187D715D" w14:textId="019BA59F" w:rsidR="00FE564D" w:rsidRDefault="00FE564D" w:rsidP="00DC4E15">
      <w:pPr>
        <w:jc w:val="left"/>
        <w:rPr>
          <w:rFonts w:cstheme="minorHAnsi"/>
          <w:lang w:val="en-US"/>
        </w:rPr>
      </w:pPr>
      <w:r>
        <w:rPr>
          <w:rFonts w:cstheme="minorHAnsi"/>
          <w:lang w:val="en-US"/>
        </w:rPr>
        <w:t xml:space="preserve">First </w:t>
      </w:r>
      <w:r w:rsidR="007F649E">
        <w:rPr>
          <w:rFonts w:cstheme="minorHAnsi"/>
          <w:lang w:val="en-US"/>
        </w:rPr>
        <w:t>S</w:t>
      </w:r>
      <w:r>
        <w:rPr>
          <w:rFonts w:cstheme="minorHAnsi"/>
          <w:lang w:val="en-US"/>
        </w:rPr>
        <w:t xml:space="preserve">upervisor and </w:t>
      </w:r>
      <w:r w:rsidR="00FD79EE">
        <w:rPr>
          <w:rFonts w:cstheme="minorHAnsi"/>
          <w:lang w:val="en-US"/>
        </w:rPr>
        <w:t>C</w:t>
      </w:r>
      <w:r>
        <w:rPr>
          <w:rFonts w:cstheme="minorHAnsi"/>
          <w:lang w:val="en-US"/>
        </w:rPr>
        <w:t>hair:</w:t>
      </w:r>
      <w:r w:rsidR="00DC4E15">
        <w:rPr>
          <w:rFonts w:cstheme="minorHAnsi"/>
          <w:lang w:val="en-US"/>
        </w:rPr>
        <w:tab/>
      </w:r>
      <w:r w:rsidR="00805D5D">
        <w:rPr>
          <w:rFonts w:cstheme="minorHAnsi"/>
          <w:lang w:val="en-US"/>
        </w:rPr>
        <w:t>:</w:t>
      </w:r>
      <w:r w:rsidR="00805D5D">
        <w:rPr>
          <w:rFonts w:cstheme="minorHAnsi"/>
          <w:lang w:val="en-US"/>
        </w:rPr>
        <w:tab/>
      </w:r>
      <w:r w:rsidR="00A163B5">
        <w:rPr>
          <w:rFonts w:cstheme="minorHAnsi"/>
          <w:lang w:val="en-US"/>
        </w:rPr>
        <w:t xml:space="preserve">Dr.ir. </w:t>
      </w:r>
      <w:r w:rsidR="008C0B84">
        <w:rPr>
          <w:rFonts w:cstheme="minorHAnsi"/>
          <w:lang w:val="en-US"/>
        </w:rPr>
        <w:t xml:space="preserve">Rudi </w:t>
      </w:r>
      <w:proofErr w:type="spellStart"/>
      <w:r w:rsidR="008C0B84">
        <w:rPr>
          <w:rFonts w:cstheme="minorHAnsi"/>
          <w:lang w:val="en-US"/>
        </w:rPr>
        <w:t>Hakvoort</w:t>
      </w:r>
      <w:proofErr w:type="spellEnd"/>
      <w:r w:rsidR="008C0B84">
        <w:rPr>
          <w:rFonts w:cstheme="minorHAnsi"/>
          <w:lang w:val="en-US"/>
        </w:rPr>
        <w:t xml:space="preserve"> </w:t>
      </w:r>
      <w:r w:rsidR="008C0B84">
        <w:rPr>
          <w:rFonts w:cstheme="minorHAnsi"/>
          <w:lang w:val="en-US"/>
        </w:rPr>
        <w:tab/>
      </w:r>
      <w:r w:rsidR="00DC4E15">
        <w:rPr>
          <w:rFonts w:cstheme="minorHAnsi"/>
          <w:lang w:val="en-US"/>
        </w:rPr>
        <w:tab/>
      </w:r>
      <w:r w:rsidR="008C0B84">
        <w:rPr>
          <w:rFonts w:cstheme="minorHAnsi"/>
          <w:lang w:val="en-US"/>
        </w:rPr>
        <w:t>Energy and Industry</w:t>
      </w:r>
    </w:p>
    <w:p w14:paraId="700F10A6" w14:textId="3EA28684" w:rsidR="00FE564D" w:rsidRDefault="00FE564D" w:rsidP="00DC4E15">
      <w:pPr>
        <w:jc w:val="left"/>
        <w:rPr>
          <w:rFonts w:cstheme="minorHAnsi"/>
          <w:lang w:val="en-US"/>
        </w:rPr>
      </w:pPr>
      <w:r>
        <w:rPr>
          <w:rFonts w:cstheme="minorHAnsi"/>
          <w:lang w:val="en-US"/>
        </w:rPr>
        <w:t>Second supervisor</w:t>
      </w:r>
      <w:r w:rsidR="008C0B84">
        <w:rPr>
          <w:rFonts w:cstheme="minorHAnsi"/>
          <w:lang w:val="en-US"/>
        </w:rPr>
        <w:t xml:space="preserve">: </w:t>
      </w:r>
      <w:r w:rsidR="00DC4E15">
        <w:rPr>
          <w:rFonts w:cstheme="minorHAnsi"/>
          <w:lang w:val="en-US"/>
        </w:rPr>
        <w:tab/>
      </w:r>
      <w:r w:rsidR="00DC4E15">
        <w:rPr>
          <w:rFonts w:cstheme="minorHAnsi"/>
          <w:lang w:val="en-US"/>
        </w:rPr>
        <w:tab/>
      </w:r>
      <w:r w:rsidR="00805D5D">
        <w:rPr>
          <w:rFonts w:cstheme="minorHAnsi"/>
          <w:lang w:val="en-US"/>
        </w:rPr>
        <w:t>:</w:t>
      </w:r>
      <w:r w:rsidR="00805D5D">
        <w:rPr>
          <w:rFonts w:cstheme="minorHAnsi"/>
          <w:lang w:val="en-US"/>
        </w:rPr>
        <w:tab/>
        <w:t xml:space="preserve">Dr. </w:t>
      </w:r>
      <w:r w:rsidR="008C0B84">
        <w:rPr>
          <w:rFonts w:cstheme="minorHAnsi"/>
          <w:lang w:val="en-US"/>
        </w:rPr>
        <w:t xml:space="preserve">Jan Anne </w:t>
      </w:r>
      <w:proofErr w:type="spellStart"/>
      <w:r w:rsidR="008C0B84">
        <w:rPr>
          <w:rFonts w:cstheme="minorHAnsi"/>
          <w:lang w:val="en-US"/>
        </w:rPr>
        <w:t>Annema</w:t>
      </w:r>
      <w:proofErr w:type="spellEnd"/>
      <w:r w:rsidR="008C0B84">
        <w:rPr>
          <w:rFonts w:cstheme="minorHAnsi"/>
          <w:lang w:val="en-US"/>
        </w:rPr>
        <w:t xml:space="preserve"> </w:t>
      </w:r>
      <w:r w:rsidR="008C0B84">
        <w:rPr>
          <w:rFonts w:cstheme="minorHAnsi"/>
          <w:lang w:val="en-US"/>
        </w:rPr>
        <w:tab/>
      </w:r>
      <w:r w:rsidR="00DC4E15">
        <w:rPr>
          <w:rFonts w:cstheme="minorHAnsi"/>
          <w:lang w:val="en-US"/>
        </w:rPr>
        <w:tab/>
      </w:r>
      <w:r w:rsidR="008C0B84">
        <w:rPr>
          <w:rFonts w:cstheme="minorHAnsi"/>
          <w:lang w:val="en-US"/>
        </w:rPr>
        <w:t>Transport and Logistics</w:t>
      </w:r>
    </w:p>
    <w:p w14:paraId="4A4080C2" w14:textId="77777777" w:rsidR="00265ABC" w:rsidRDefault="00FE564D" w:rsidP="00265ABC">
      <w:pPr>
        <w:jc w:val="left"/>
        <w:rPr>
          <w:rFonts w:cstheme="minorHAnsi"/>
          <w:lang w:val="en-US"/>
        </w:rPr>
      </w:pPr>
      <w:r>
        <w:rPr>
          <w:rFonts w:cstheme="minorHAnsi"/>
          <w:lang w:val="en-US"/>
        </w:rPr>
        <w:t>External supervisor</w:t>
      </w:r>
      <w:r w:rsidR="008C0B84">
        <w:rPr>
          <w:rFonts w:cstheme="minorHAnsi"/>
          <w:lang w:val="en-US"/>
        </w:rPr>
        <w:t>:</w:t>
      </w:r>
      <w:r w:rsidR="00DC4E15">
        <w:rPr>
          <w:rFonts w:cstheme="minorHAnsi"/>
          <w:lang w:val="en-US"/>
        </w:rPr>
        <w:tab/>
      </w:r>
      <w:r w:rsidR="00DC4E15">
        <w:rPr>
          <w:rFonts w:cstheme="minorHAnsi"/>
          <w:lang w:val="en-US"/>
        </w:rPr>
        <w:tab/>
      </w:r>
      <w:r w:rsidR="00805D5D">
        <w:rPr>
          <w:rFonts w:cstheme="minorHAnsi"/>
          <w:lang w:val="en-US"/>
        </w:rPr>
        <w:t>:</w:t>
      </w:r>
      <w:r w:rsidR="00DC4E15">
        <w:rPr>
          <w:rFonts w:cstheme="minorHAnsi"/>
          <w:lang w:val="en-US"/>
        </w:rPr>
        <w:tab/>
      </w:r>
      <w:r w:rsidR="008C0B84">
        <w:rPr>
          <w:rFonts w:cstheme="minorHAnsi"/>
          <w:lang w:val="en-US"/>
        </w:rPr>
        <w:t xml:space="preserve">Ot </w:t>
      </w:r>
      <w:proofErr w:type="spellStart"/>
      <w:r w:rsidR="008C0B84">
        <w:rPr>
          <w:rFonts w:cstheme="minorHAnsi"/>
          <w:lang w:val="en-US"/>
        </w:rPr>
        <w:t>Messemaker</w:t>
      </w:r>
      <w:proofErr w:type="spellEnd"/>
      <w:r w:rsidR="008C0B84">
        <w:rPr>
          <w:rFonts w:cstheme="minorHAnsi"/>
          <w:lang w:val="en-US"/>
        </w:rPr>
        <w:tab/>
      </w:r>
      <w:r w:rsidR="00DC4E15">
        <w:rPr>
          <w:rFonts w:cstheme="minorHAnsi"/>
          <w:lang w:val="en-US"/>
        </w:rPr>
        <w:tab/>
      </w:r>
      <w:r w:rsidR="008C0B84">
        <w:rPr>
          <w:rFonts w:cstheme="minorHAnsi"/>
          <w:lang w:val="en-US"/>
        </w:rPr>
        <w:t>Skytree</w:t>
      </w:r>
      <w:r w:rsidR="00415A99" w:rsidRPr="00670221">
        <w:rPr>
          <w:noProof/>
          <w:lang w:val="en-US"/>
        </w:rPr>
        <w:drawing>
          <wp:anchor distT="0" distB="0" distL="114300" distR="114300" simplePos="0" relativeHeight="251668480" behindDoc="0" locked="0" layoutInCell="1" allowOverlap="1" wp14:anchorId="1FE2BBD9" wp14:editId="0D2CA584">
            <wp:simplePos x="0" y="0"/>
            <wp:positionH relativeFrom="margin">
              <wp:align>center</wp:align>
            </wp:positionH>
            <wp:positionV relativeFrom="margin">
              <wp:align>bottom</wp:align>
            </wp:positionV>
            <wp:extent cx="1402080" cy="731520"/>
            <wp:effectExtent l="0" t="0" r="0" b="5080"/>
            <wp:wrapNone/>
            <wp:docPr id="25899168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23077" t="25893" r="22486" b="31250"/>
                    <a:stretch/>
                  </pic:blipFill>
                  <pic:spPr bwMode="auto">
                    <a:xfrm>
                      <a:off x="0" y="0"/>
                      <a:ext cx="1402080"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28E71" w14:textId="77777777" w:rsidR="00265ABC" w:rsidRDefault="00265ABC" w:rsidP="00265ABC">
      <w:pPr>
        <w:jc w:val="left"/>
        <w:rPr>
          <w:rFonts w:cstheme="minorHAnsi"/>
          <w:lang w:val="en-US"/>
        </w:rPr>
      </w:pPr>
    </w:p>
    <w:p w14:paraId="4C17ADAD" w14:textId="36CA3664" w:rsidR="00D17158" w:rsidRDefault="00265ABC" w:rsidP="00D17158">
      <w:pPr>
        <w:jc w:val="center"/>
        <w:rPr>
          <w:rFonts w:cstheme="minorHAnsi"/>
          <w:lang w:val="en-US"/>
        </w:rPr>
        <w:sectPr w:rsidR="00D17158" w:rsidSect="007A7807">
          <w:footerReference w:type="even" r:id="rId11"/>
          <w:pgSz w:w="11906" w:h="16838"/>
          <w:pgMar w:top="1440" w:right="1440" w:bottom="1440" w:left="1440" w:header="708" w:footer="708" w:gutter="0"/>
          <w:pgNumType w:start="0"/>
          <w:cols w:space="708"/>
          <w:docGrid w:linePitch="360"/>
        </w:sectPr>
      </w:pPr>
      <w:r>
        <w:rPr>
          <w:rFonts w:cstheme="minorHAnsi"/>
          <w:lang w:val="en-US"/>
        </w:rPr>
        <w:t xml:space="preserve">Cover image retrieved from </w:t>
      </w:r>
      <w:hyperlink r:id="rId12" w:history="1">
        <w:r w:rsidR="00D16EC7" w:rsidRPr="00DD0773">
          <w:rPr>
            <w:rStyle w:val="Hyperlink"/>
            <w:rFonts w:cstheme="minorHAnsi"/>
            <w:lang w:val="en-US"/>
          </w:rPr>
          <w:t>www.gasworld.com</w:t>
        </w:r>
      </w:hyperlink>
    </w:p>
    <w:p w14:paraId="5E02498A" w14:textId="2D6B4A84" w:rsidR="00CC5DC3" w:rsidRPr="00265ABC" w:rsidRDefault="008B4F86" w:rsidP="00D17158">
      <w:pPr>
        <w:rPr>
          <w:rFonts w:cstheme="minorHAnsi"/>
          <w:lang w:val="en-US"/>
        </w:rPr>
      </w:pPr>
      <w:r w:rsidRPr="00670221">
        <w:rPr>
          <w:rFonts w:asciiTheme="majorHAnsi" w:hAnsiTheme="majorHAnsi" w:cstheme="majorHAnsi"/>
          <w:sz w:val="96"/>
          <w:szCs w:val="96"/>
          <w:lang w:val="en-US"/>
        </w:rPr>
        <w:lastRenderedPageBreak/>
        <w:t>Abstract</w:t>
      </w:r>
    </w:p>
    <w:p w14:paraId="5E4E563D" w14:textId="2D0D5D3C" w:rsidR="00D2288D" w:rsidRDefault="00D2288D" w:rsidP="00D2288D">
      <w:pPr>
        <w:rPr>
          <w:lang w:val="en-US"/>
        </w:rPr>
      </w:pPr>
      <w:r w:rsidRPr="00D2288D">
        <w:rPr>
          <w:lang w:val="en-US"/>
        </w:rPr>
        <w:t xml:space="preserve">Technologies such as power-to-liquid </w:t>
      </w:r>
      <w:r w:rsidR="00EF7F8B">
        <w:rPr>
          <w:lang w:val="en-US"/>
        </w:rPr>
        <w:t>(</w:t>
      </w:r>
      <w:proofErr w:type="spellStart"/>
      <w:r w:rsidR="00000861">
        <w:rPr>
          <w:lang w:val="en-US"/>
        </w:rPr>
        <w:t>PtL</w:t>
      </w:r>
      <w:proofErr w:type="spellEnd"/>
      <w:r w:rsidR="00EF7F8B">
        <w:rPr>
          <w:lang w:val="en-US"/>
        </w:rPr>
        <w:t>)</w:t>
      </w:r>
      <w:r w:rsidR="00000861">
        <w:rPr>
          <w:lang w:val="en-US"/>
        </w:rPr>
        <w:t xml:space="preserve"> </w:t>
      </w:r>
      <w:r w:rsidRPr="00D2288D">
        <w:rPr>
          <w:lang w:val="en-US"/>
        </w:rPr>
        <w:t>and direct air capture (DAC) offer significant promise in producing carbon-neutral fuels</w:t>
      </w:r>
      <w:r w:rsidR="007F00DE">
        <w:rPr>
          <w:lang w:val="en-US"/>
        </w:rPr>
        <w:t xml:space="preserve"> for aviation</w:t>
      </w:r>
      <w:r w:rsidR="00F13C92">
        <w:rPr>
          <w:lang w:val="en-US"/>
        </w:rPr>
        <w:t>, also known as sustainable aviation fuels (SAFs)</w:t>
      </w:r>
      <w:r w:rsidRPr="00D2288D">
        <w:rPr>
          <w:lang w:val="en-US"/>
        </w:rPr>
        <w:t xml:space="preserve"> (McQueen et al., 2021; Pio et al., 2023). Despite mandates set by the European Union to accelerate SAF adoption, the airline industry remains hesitant, citing high costs and </w:t>
      </w:r>
      <w:r w:rsidR="00011400">
        <w:rPr>
          <w:lang w:val="en-US"/>
        </w:rPr>
        <w:t>technological complexities</w:t>
      </w:r>
      <w:r w:rsidRPr="00D2288D">
        <w:rPr>
          <w:lang w:val="en-US"/>
        </w:rPr>
        <w:t>. This hesitancy perpetuates a “chicken-or-egg” problem where high costs limit adoption, and limited adoption prevents cost reductions (</w:t>
      </w:r>
      <w:proofErr w:type="spellStart"/>
      <w:r w:rsidRPr="00D2288D">
        <w:rPr>
          <w:lang w:val="en-US"/>
        </w:rPr>
        <w:t>Erriu</w:t>
      </w:r>
      <w:proofErr w:type="spellEnd"/>
      <w:r w:rsidRPr="00D2288D">
        <w:rPr>
          <w:lang w:val="en-US"/>
        </w:rPr>
        <w:t xml:space="preserve"> et al., 2024)</w:t>
      </w:r>
      <w:r w:rsidR="00EF7F8B">
        <w:rPr>
          <w:lang w:val="en-US"/>
        </w:rPr>
        <w:t>.</w:t>
      </w:r>
    </w:p>
    <w:p w14:paraId="73A1BE39" w14:textId="403687E4" w:rsidR="00EC1314" w:rsidRPr="00EC1314" w:rsidRDefault="00EC1314" w:rsidP="00EC1314">
      <w:pPr>
        <w:rPr>
          <w:lang w:val="en-US"/>
        </w:rPr>
      </w:pPr>
      <w:r w:rsidRPr="00EC1314">
        <w:rPr>
          <w:lang w:val="en-US"/>
        </w:rPr>
        <w:t>Addressing the chicken-and-egg problem and meeting EU mandates to enable sustainable air travel requires identifying the most viable sustainable aviation fuel (SAF) technology incorporating direct air capture (DAC) within the EU. To achieve this, the costs of state-of-the-art electrolysis technologies were analyzed alongside the latest DAC data provided by Skytree, a company specializing in direct air capture. This approach aims to bridge the gap between theoretical literature and practical industry values.</w:t>
      </w:r>
    </w:p>
    <w:p w14:paraId="1939129A" w14:textId="0962AA52" w:rsidR="00EC1314" w:rsidRPr="00EC1314" w:rsidRDefault="00EC1314" w:rsidP="00EC1314">
      <w:pPr>
        <w:rPr>
          <w:lang w:val="en-US"/>
        </w:rPr>
      </w:pPr>
      <w:r w:rsidRPr="00EC1314">
        <w:rPr>
          <w:lang w:val="en-US"/>
        </w:rPr>
        <w:t xml:space="preserve">While viewing CO₂ as a valuable feedstock is not a new concept, this analysis is novel in combining this perspective with the varying carbon efficiencies of different SAF production technologies. These efficiencies directly impact the levelized cost of kerosene by requiring different volumes of 'valuable' CO₂ from </w:t>
      </w:r>
      <w:r w:rsidR="0078454D">
        <w:rPr>
          <w:lang w:val="en-US"/>
        </w:rPr>
        <w:t>direct air capture (DAC)</w:t>
      </w:r>
      <w:r w:rsidRPr="00EC1314">
        <w:rPr>
          <w:lang w:val="en-US"/>
        </w:rPr>
        <w:t>, offering a fresh approach to evaluating the economic viability of SAF pathways.</w:t>
      </w:r>
    </w:p>
    <w:p w14:paraId="6C2AA476" w14:textId="65DCEBC9" w:rsidR="00B4551B" w:rsidRDefault="00EC1314" w:rsidP="00EC1314">
      <w:pPr>
        <w:rPr>
          <w:lang w:val="en-US"/>
        </w:rPr>
      </w:pPr>
      <w:r w:rsidRPr="00EC1314">
        <w:rPr>
          <w:lang w:val="en-US"/>
        </w:rPr>
        <w:t xml:space="preserve">This study extends the existing literature, which provides substantial insight into cost and performance metrics, by adopting a socio-technical lens. This perspective explores what is needed beyond lower costs to enable the deployment of </w:t>
      </w:r>
      <w:r w:rsidR="0078454D">
        <w:rPr>
          <w:lang w:val="en-US"/>
        </w:rPr>
        <w:t>sustainable aviation fuel</w:t>
      </w:r>
      <w:r w:rsidRPr="00EC1314">
        <w:rPr>
          <w:lang w:val="en-US"/>
        </w:rPr>
        <w:t xml:space="preserve"> technologies within the current socio-technical system. Therefore, the research question guiding this study is: How can sustainable aviation fuel (SAF) be developed within the EU, specifically considering technologies that incorporate direct air capture (DAC)?</w:t>
      </w:r>
    </w:p>
    <w:p w14:paraId="23E3A0D1" w14:textId="46AD09F5" w:rsidR="002C1B90" w:rsidRDefault="00C9298D" w:rsidP="00EC1314">
      <w:pPr>
        <w:rPr>
          <w:lang w:val="en-US"/>
        </w:rPr>
      </w:pPr>
      <w:r>
        <w:rPr>
          <w:lang w:val="en-US"/>
        </w:rPr>
        <w:t>The socio</w:t>
      </w:r>
      <w:r w:rsidR="00A33B0D">
        <w:rPr>
          <w:lang w:val="en-US"/>
        </w:rPr>
        <w:t>-</w:t>
      </w:r>
      <w:r>
        <w:rPr>
          <w:lang w:val="en-US"/>
        </w:rPr>
        <w:t xml:space="preserve">technical analysis began </w:t>
      </w:r>
      <w:r w:rsidR="008A56A2" w:rsidRPr="008A56A2">
        <w:rPr>
          <w:lang w:val="en-US"/>
        </w:rPr>
        <w:t xml:space="preserve">with a literature review to identify SAF technologies and their components, guiding an actor analysis using the </w:t>
      </w:r>
      <w:r w:rsidR="0078454D">
        <w:rPr>
          <w:lang w:val="en-US"/>
        </w:rPr>
        <w:t>Tech</w:t>
      </w:r>
      <w:r w:rsidR="002B42F0">
        <w:rPr>
          <w:lang w:val="en-US"/>
        </w:rPr>
        <w:t>nological Innovation System (</w:t>
      </w:r>
      <w:r w:rsidR="008A56A2" w:rsidRPr="008A56A2">
        <w:rPr>
          <w:lang w:val="en-US"/>
        </w:rPr>
        <w:t>TIS</w:t>
      </w:r>
      <w:r w:rsidR="002B42F0">
        <w:rPr>
          <w:lang w:val="en-US"/>
        </w:rPr>
        <w:t>)</w:t>
      </w:r>
      <w:r w:rsidR="008A56A2" w:rsidRPr="008A56A2">
        <w:rPr>
          <w:lang w:val="en-US"/>
        </w:rPr>
        <w:t xml:space="preserve"> framework to link stakeholders with technological </w:t>
      </w:r>
      <w:r w:rsidR="00946F11">
        <w:rPr>
          <w:lang w:val="en-US"/>
        </w:rPr>
        <w:t xml:space="preserve">and regulatory </w:t>
      </w:r>
      <w:r w:rsidR="008A56A2" w:rsidRPr="008A56A2">
        <w:rPr>
          <w:lang w:val="en-US"/>
        </w:rPr>
        <w:t>roles.</w:t>
      </w:r>
      <w:r w:rsidR="006211EA" w:rsidRPr="006211EA">
        <w:t xml:space="preserve"> </w:t>
      </w:r>
      <w:r w:rsidR="008C46E1">
        <w:t xml:space="preserve">An </w:t>
      </w:r>
      <w:r w:rsidR="008C46E1">
        <w:rPr>
          <w:lang w:val="en-US"/>
        </w:rPr>
        <w:t>i</w:t>
      </w:r>
      <w:r w:rsidR="006211EA" w:rsidRPr="006211EA">
        <w:rPr>
          <w:lang w:val="en-US"/>
        </w:rPr>
        <w:t>nstitutional analys</w:t>
      </w:r>
      <w:r w:rsidR="008C46E1">
        <w:rPr>
          <w:lang w:val="en-US"/>
        </w:rPr>
        <w:t>i</w:t>
      </w:r>
      <w:r w:rsidR="006211EA" w:rsidRPr="006211EA">
        <w:rPr>
          <w:lang w:val="en-US"/>
        </w:rPr>
        <w:t xml:space="preserve">s </w:t>
      </w:r>
      <w:r w:rsidR="00CC28AC">
        <w:rPr>
          <w:lang w:val="en-US"/>
        </w:rPr>
        <w:t xml:space="preserve">followed, </w:t>
      </w:r>
      <w:r w:rsidR="006211EA" w:rsidRPr="006211EA">
        <w:rPr>
          <w:lang w:val="en-US"/>
        </w:rPr>
        <w:t xml:space="preserve">identified key policies, formal rules, and regulatory hurdles shaping the SAF innovation system, while </w:t>
      </w:r>
      <w:r w:rsidR="00970683">
        <w:rPr>
          <w:lang w:val="en-US"/>
        </w:rPr>
        <w:t xml:space="preserve">subsequent </w:t>
      </w:r>
      <w:r w:rsidR="006211EA" w:rsidRPr="006211EA">
        <w:rPr>
          <w:lang w:val="en-US"/>
        </w:rPr>
        <w:t>network analyses examined system support structures</w:t>
      </w:r>
      <w:r w:rsidR="00363E60">
        <w:rPr>
          <w:lang w:val="en-US"/>
        </w:rPr>
        <w:t xml:space="preserve">. </w:t>
      </w:r>
      <w:r w:rsidR="00363E60" w:rsidRPr="00363E60">
        <w:rPr>
          <w:lang w:val="en-US"/>
        </w:rPr>
        <w:t xml:space="preserve">Together with the problem statement, these </w:t>
      </w:r>
      <w:r w:rsidR="00C752E9">
        <w:rPr>
          <w:lang w:val="en-US"/>
        </w:rPr>
        <w:t>analyses</w:t>
      </w:r>
      <w:r w:rsidR="00363E60" w:rsidRPr="00363E60">
        <w:rPr>
          <w:lang w:val="en-US"/>
        </w:rPr>
        <w:t xml:space="preserve"> guided the development of technical criteria to assess </w:t>
      </w:r>
      <w:r w:rsidR="00E60C21">
        <w:rPr>
          <w:lang w:val="en-US"/>
        </w:rPr>
        <w:t xml:space="preserve">the </w:t>
      </w:r>
      <w:r w:rsidR="00363E60" w:rsidRPr="00363E60">
        <w:rPr>
          <w:lang w:val="en-US"/>
        </w:rPr>
        <w:t xml:space="preserve">feasibility </w:t>
      </w:r>
      <w:r w:rsidR="00A4593B">
        <w:rPr>
          <w:lang w:val="en-US"/>
        </w:rPr>
        <w:t xml:space="preserve">of the </w:t>
      </w:r>
      <w:r w:rsidR="00E60C21">
        <w:rPr>
          <w:lang w:val="en-US"/>
        </w:rPr>
        <w:t>outlined technologies as well as</w:t>
      </w:r>
      <w:r w:rsidR="00363E60" w:rsidRPr="00363E60">
        <w:rPr>
          <w:lang w:val="en-US"/>
        </w:rPr>
        <w:t xml:space="preserve"> non-technical criteria addressing </w:t>
      </w:r>
      <w:r w:rsidR="00A4593B">
        <w:rPr>
          <w:lang w:val="en-US"/>
        </w:rPr>
        <w:t>broader</w:t>
      </w:r>
      <w:r w:rsidR="00363E60" w:rsidRPr="00363E60">
        <w:rPr>
          <w:lang w:val="en-US"/>
        </w:rPr>
        <w:t xml:space="preserve"> factors necessary for </w:t>
      </w:r>
      <w:r w:rsidR="00E54903">
        <w:rPr>
          <w:lang w:val="en-US"/>
        </w:rPr>
        <w:t xml:space="preserve">successful </w:t>
      </w:r>
      <w:r w:rsidR="00970683">
        <w:rPr>
          <w:lang w:val="en-US"/>
        </w:rPr>
        <w:t xml:space="preserve">short-term </w:t>
      </w:r>
      <w:r w:rsidR="00E54903">
        <w:rPr>
          <w:lang w:val="en-US"/>
        </w:rPr>
        <w:t>deployment</w:t>
      </w:r>
      <w:r w:rsidR="00970683">
        <w:rPr>
          <w:lang w:val="en-US"/>
        </w:rPr>
        <w:t xml:space="preserve"> within the EU</w:t>
      </w:r>
      <w:r w:rsidR="00363E60" w:rsidRPr="00363E60">
        <w:rPr>
          <w:lang w:val="en-US"/>
        </w:rPr>
        <w:t>.</w:t>
      </w:r>
      <w:r w:rsidR="002E3CAF">
        <w:rPr>
          <w:lang w:val="en-US"/>
        </w:rPr>
        <w:t xml:space="preserve"> </w:t>
      </w:r>
      <w:r w:rsidR="00A07516" w:rsidRPr="00A07516">
        <w:rPr>
          <w:lang w:val="en-US"/>
        </w:rPr>
        <w:t>Using techno-economic data from the literature review, along with up-to-date direct air capture data provided by the internship provider, Skytree, the best-assessed technologies from the socio-technical analysis were compared based on the levelized cost of fuel.</w:t>
      </w:r>
      <w:r w:rsidR="0083200E">
        <w:rPr>
          <w:lang w:val="en-US"/>
        </w:rPr>
        <w:t xml:space="preserve"> </w:t>
      </w:r>
      <w:r w:rsidR="00631AEA" w:rsidRPr="00631AEA">
        <w:rPr>
          <w:lang w:val="en-US"/>
        </w:rPr>
        <w:t>The analysis transitions from an overall cost comparison to a detailed examination of specific cost components, using CAPEX degression curves to average future estimates</w:t>
      </w:r>
      <w:r w:rsidR="004E64C3">
        <w:rPr>
          <w:lang w:val="en-US"/>
        </w:rPr>
        <w:t xml:space="preserve"> from literature</w:t>
      </w:r>
      <w:r w:rsidR="00631AEA" w:rsidRPr="00631AEA">
        <w:rPr>
          <w:lang w:val="en-US"/>
        </w:rPr>
        <w:t xml:space="preserve"> and comparing cost breakdowns </w:t>
      </w:r>
      <w:r w:rsidR="004024E1" w:rsidRPr="00631AEA">
        <w:rPr>
          <w:lang w:val="en-US"/>
        </w:rPr>
        <w:t>in</w:t>
      </w:r>
      <w:r w:rsidR="00631AEA" w:rsidRPr="00631AEA">
        <w:rPr>
          <w:lang w:val="en-US"/>
        </w:rPr>
        <w:t xml:space="preserve"> 2024, 2035, and 2050 to highlight structural shifts as technologies mature. A concluding sensitivity analysis varies key assumptions to identify critical cost drivers influencing the economic viability of SAF technologies.</w:t>
      </w:r>
    </w:p>
    <w:p w14:paraId="53FC90FE" w14:textId="6A55D851" w:rsidR="00EE7B88" w:rsidRDefault="002C1B90" w:rsidP="00686956">
      <w:pPr>
        <w:rPr>
          <w:lang w:val="en-US"/>
        </w:rPr>
      </w:pPr>
      <w:r w:rsidRPr="002C1B90">
        <w:rPr>
          <w:lang w:val="en-US"/>
        </w:rPr>
        <w:t xml:space="preserve">This study selected fossil, biogenic, and </w:t>
      </w:r>
      <w:r w:rsidR="00530EAD">
        <w:rPr>
          <w:lang w:val="en-US"/>
        </w:rPr>
        <w:t>direct air capture (</w:t>
      </w:r>
      <w:r w:rsidRPr="002C1B90">
        <w:rPr>
          <w:lang w:val="en-US"/>
        </w:rPr>
        <w:t>D</w:t>
      </w:r>
      <w:r w:rsidR="00530EAD">
        <w:rPr>
          <w:lang w:val="en-US"/>
        </w:rPr>
        <w:t>AC)</w:t>
      </w:r>
      <w:r w:rsidRPr="002C1B90">
        <w:rPr>
          <w:lang w:val="en-US"/>
        </w:rPr>
        <w:t xml:space="preserve"> carbon sources coupled with proton exchange membrane electrolysis</w:t>
      </w:r>
      <w:r w:rsidR="0071015A">
        <w:rPr>
          <w:lang w:val="en-US"/>
        </w:rPr>
        <w:t xml:space="preserve"> (PEM)</w:t>
      </w:r>
      <w:r w:rsidRPr="002C1B90">
        <w:rPr>
          <w:lang w:val="en-US"/>
        </w:rPr>
        <w:t>, solid oxide electrolysis</w:t>
      </w:r>
      <w:r w:rsidR="0071015A">
        <w:rPr>
          <w:lang w:val="en-US"/>
        </w:rPr>
        <w:t xml:space="preserve"> (SOE)</w:t>
      </w:r>
      <w:r w:rsidRPr="002C1B90">
        <w:rPr>
          <w:lang w:val="en-US"/>
        </w:rPr>
        <w:t xml:space="preserve">, </w:t>
      </w:r>
      <w:r w:rsidR="0071015A">
        <w:rPr>
          <w:lang w:val="en-US"/>
        </w:rPr>
        <w:t>reverse water</w:t>
      </w:r>
      <w:r w:rsidR="0053034B">
        <w:rPr>
          <w:lang w:val="en-US"/>
        </w:rPr>
        <w:t>-</w:t>
      </w:r>
      <w:r w:rsidR="0071015A">
        <w:rPr>
          <w:lang w:val="en-US"/>
        </w:rPr>
        <w:lastRenderedPageBreak/>
        <w:t>gas shift (RWGS) reactor</w:t>
      </w:r>
      <w:r w:rsidRPr="002C1B90">
        <w:rPr>
          <w:lang w:val="en-US"/>
        </w:rPr>
        <w:t>, and Fischer-</w:t>
      </w:r>
      <w:proofErr w:type="spellStart"/>
      <w:r w:rsidRPr="002C1B90">
        <w:rPr>
          <w:lang w:val="en-US"/>
        </w:rPr>
        <w:t>Tropsch</w:t>
      </w:r>
      <w:proofErr w:type="spellEnd"/>
      <w:r w:rsidRPr="002C1B90">
        <w:rPr>
          <w:lang w:val="en-US"/>
        </w:rPr>
        <w:t xml:space="preserve"> </w:t>
      </w:r>
      <w:r w:rsidR="0071015A">
        <w:rPr>
          <w:lang w:val="en-US"/>
        </w:rPr>
        <w:t xml:space="preserve">(FT) </w:t>
      </w:r>
      <w:r w:rsidRPr="002C1B90">
        <w:rPr>
          <w:lang w:val="en-US"/>
        </w:rPr>
        <w:t>synthesis for further analysis. Socio-technical analyses emphasized collaboration among airlines, knowledge institutes, and supporting organizations, alongside strong connections with energy providers, feedstock suppliers, and infrastructure providers to address supply chain complexities. IATA</w:t>
      </w:r>
      <w:r w:rsidR="00113F3E">
        <w:rPr>
          <w:lang w:val="en-US"/>
        </w:rPr>
        <w:t xml:space="preserve"> (</w:t>
      </w:r>
      <w:r w:rsidR="00113F3E" w:rsidRPr="00113F3E">
        <w:t>International Air Transport Association</w:t>
      </w:r>
      <w:r w:rsidR="00113F3E">
        <w:t>)</w:t>
      </w:r>
      <w:r w:rsidRPr="002C1B90">
        <w:rPr>
          <w:lang w:val="en-US"/>
        </w:rPr>
        <w:t xml:space="preserve"> was identified as a potential coordinator for collective investments to overcome high costs, low initial demand, and narrow profit margins, particularly in EU states with SAF regulations. Production sites near renewable energy sources and fueling infrastructure were recommended to reduce logistical costs and grid congestion, with regions like Iceland or Norway offering short-term potential despite higher costs. Locating facilities in areas without alternative carbon sources strengthened the case for DAC by reducing reliance on limited carbon infrastructure. Policy analysis highlighted the need to phase out </w:t>
      </w:r>
      <w:r w:rsidR="0018271F">
        <w:rPr>
          <w:lang w:val="en-US"/>
        </w:rPr>
        <w:t xml:space="preserve">or </w:t>
      </w:r>
      <w:r w:rsidR="000D7743">
        <w:rPr>
          <w:lang w:val="en-US"/>
        </w:rPr>
        <w:t>reevaluate</w:t>
      </w:r>
      <w:r w:rsidR="0018271F">
        <w:rPr>
          <w:lang w:val="en-US"/>
        </w:rPr>
        <w:t xml:space="preserve"> </w:t>
      </w:r>
      <w:r w:rsidRPr="002C1B90">
        <w:rPr>
          <w:lang w:val="en-US"/>
        </w:rPr>
        <w:t>free EU ETS allowances for fossil CO₂ to ensure fair competition and support DAC and biogenic CO₂ adoption.</w:t>
      </w:r>
    </w:p>
    <w:p w14:paraId="30FFA8E8" w14:textId="2E7F1460" w:rsidR="0018652D" w:rsidRDefault="00DA36C3" w:rsidP="00686956">
      <w:pPr>
        <w:rPr>
          <w:lang w:val="en-US"/>
        </w:rPr>
      </w:pPr>
      <w:r w:rsidRPr="00DA36C3">
        <w:rPr>
          <w:lang w:val="en-US"/>
        </w:rPr>
        <w:t xml:space="preserve">Techno-economic analysis identified </w:t>
      </w:r>
      <w:r w:rsidR="00D446C1">
        <w:rPr>
          <w:lang w:val="en-US"/>
        </w:rPr>
        <w:t>proton exchange membrane</w:t>
      </w:r>
      <w:r w:rsidR="00FC48ED">
        <w:rPr>
          <w:lang w:val="en-US"/>
        </w:rPr>
        <w:t xml:space="preserve"> </w:t>
      </w:r>
      <w:r w:rsidR="00D446C1">
        <w:rPr>
          <w:lang w:val="en-US"/>
        </w:rPr>
        <w:t>electrolysis</w:t>
      </w:r>
      <w:r w:rsidRPr="00DA36C3">
        <w:rPr>
          <w:lang w:val="en-US"/>
        </w:rPr>
        <w:t xml:space="preserve"> </w:t>
      </w:r>
      <w:r w:rsidR="00FC48ED">
        <w:rPr>
          <w:lang w:val="en-US"/>
        </w:rPr>
        <w:t>(PEM) coupled with a reverse water-gas shift (RWGS) reactor, Fischer-</w:t>
      </w:r>
      <w:proofErr w:type="spellStart"/>
      <w:r w:rsidR="00FC48ED">
        <w:rPr>
          <w:lang w:val="en-US"/>
        </w:rPr>
        <w:t>Tropsch</w:t>
      </w:r>
      <w:proofErr w:type="spellEnd"/>
      <w:r w:rsidR="00FC48ED">
        <w:rPr>
          <w:lang w:val="en-US"/>
        </w:rPr>
        <w:t xml:space="preserve"> (FT) synthesis and</w:t>
      </w:r>
      <w:r w:rsidRPr="00DA36C3">
        <w:rPr>
          <w:lang w:val="en-US"/>
        </w:rPr>
        <w:t xml:space="preserve"> biogenic </w:t>
      </w:r>
      <w:r w:rsidR="00FC48ED">
        <w:rPr>
          <w:lang w:val="en-US"/>
        </w:rPr>
        <w:t xml:space="preserve">(BIO) </w:t>
      </w:r>
      <w:r w:rsidRPr="00DA36C3">
        <w:rPr>
          <w:lang w:val="en-US"/>
        </w:rPr>
        <w:t xml:space="preserve">CO₂ as the most cost-effective current option due to its lower CAPEX compared to </w:t>
      </w:r>
      <w:r w:rsidR="00FC48ED">
        <w:rPr>
          <w:lang w:val="en-US"/>
        </w:rPr>
        <w:t>solid oxide electrolysis (SOE)</w:t>
      </w:r>
      <w:r w:rsidRPr="00DA36C3">
        <w:rPr>
          <w:lang w:val="en-US"/>
        </w:rPr>
        <w:t>, though it remains 4 to 5 times more expensive than fossil kerosene. DAC-based pathways, while initially more costly, are projected to become competitive by 2028 with rising EU ETS carbon prices and to surpass fossil-based CO₂ in cost-effectiveness across all scenarios by 2036, highlighting the need to revise transitional</w:t>
      </w:r>
      <w:r w:rsidR="00542689">
        <w:rPr>
          <w:lang w:val="en-US"/>
        </w:rPr>
        <w:t xml:space="preserve"> fossil</w:t>
      </w:r>
      <w:r w:rsidRPr="00DA36C3">
        <w:rPr>
          <w:lang w:val="en-US"/>
        </w:rPr>
        <w:t xml:space="preserve"> CO₂ timelines and phase out free allowances. High-concentration biogenic CO₂ </w:t>
      </w:r>
      <w:r w:rsidR="005C6703" w:rsidRPr="00DA36C3">
        <w:rPr>
          <w:lang w:val="en-US"/>
        </w:rPr>
        <w:t>can</w:t>
      </w:r>
      <w:r w:rsidR="00F773A0">
        <w:rPr>
          <w:lang w:val="en-US"/>
        </w:rPr>
        <w:t xml:space="preserve"> meet demand</w:t>
      </w:r>
      <w:r w:rsidRPr="00DA36C3">
        <w:rPr>
          <w:lang w:val="en-US"/>
        </w:rPr>
        <w:t xml:space="preserve"> but is currently underutilized due to limited economic incentives for capture and insufficient carbon infrastructure. By 2050, all </w:t>
      </w:r>
      <w:r w:rsidR="00682D03">
        <w:rPr>
          <w:lang w:val="en-US"/>
        </w:rPr>
        <w:t xml:space="preserve">studied </w:t>
      </w:r>
      <w:r w:rsidR="00BC3D8B">
        <w:rPr>
          <w:lang w:val="en-US"/>
        </w:rPr>
        <w:t>sustainable aviation fuel</w:t>
      </w:r>
      <w:r w:rsidRPr="00DA36C3">
        <w:rPr>
          <w:lang w:val="en-US"/>
        </w:rPr>
        <w:t xml:space="preserve"> pathways are expected to cost between €1.80 and €2.00/liter, with </w:t>
      </w:r>
      <w:r w:rsidR="005C6703">
        <w:rPr>
          <w:lang w:val="en-US"/>
        </w:rPr>
        <w:t>proton exchange membrane</w:t>
      </w:r>
      <w:r w:rsidR="001240D4">
        <w:rPr>
          <w:lang w:val="en-US"/>
        </w:rPr>
        <w:t xml:space="preserve"> electrolysis (PEM)</w:t>
      </w:r>
      <w:r w:rsidRPr="00DA36C3">
        <w:rPr>
          <w:lang w:val="en-US"/>
        </w:rPr>
        <w:t xml:space="preserve"> technology emerging as the most economical and SAF prices ranging from 1 to 2 times the cost of fossil kerosene. </w:t>
      </w:r>
      <w:r w:rsidR="005C4A6D" w:rsidRPr="005C4A6D">
        <w:rPr>
          <w:lang w:val="en-US"/>
        </w:rPr>
        <w:t>Solid oxide electrolysis (SOE) technology demonstrates strong potential with improved efficiency, extended lifetimes, and the ability to co-electrolyze CO₂ and water to produce syngas, making it particularly promising for sustainable aviation fuel (SAF) production</w:t>
      </w:r>
      <w:r w:rsidRPr="00DA36C3">
        <w:rPr>
          <w:lang w:val="en-US"/>
        </w:rPr>
        <w:t xml:space="preserve">. </w:t>
      </w:r>
      <w:r w:rsidR="009162D5" w:rsidRPr="009162D5">
        <w:rPr>
          <w:lang w:val="en-US"/>
        </w:rPr>
        <w:t xml:space="preserve">High CAPEX and low operational hours, particularly for </w:t>
      </w:r>
      <w:r w:rsidR="00BC3D8B">
        <w:rPr>
          <w:lang w:val="en-US"/>
        </w:rPr>
        <w:t>direct air capture</w:t>
      </w:r>
      <w:r w:rsidR="009162D5" w:rsidRPr="009162D5">
        <w:rPr>
          <w:lang w:val="en-US"/>
        </w:rPr>
        <w:t>, drive up costs, necessitating strategies such as electricity storage development and nuclear energy expansion to ensure affordable power and meet the EU’s increasing electricity demand for aviation decarbonization.</w:t>
      </w:r>
      <w:r w:rsidR="009162D5">
        <w:rPr>
          <w:lang w:val="en-US"/>
        </w:rPr>
        <w:t xml:space="preserve"> </w:t>
      </w:r>
      <w:r w:rsidRPr="00DA36C3">
        <w:rPr>
          <w:lang w:val="en-US"/>
        </w:rPr>
        <w:t xml:space="preserve">The OPEX-heavy nature of </w:t>
      </w:r>
      <w:r w:rsidR="00BC3D8B">
        <w:rPr>
          <w:lang w:val="en-US"/>
        </w:rPr>
        <w:t>s</w:t>
      </w:r>
      <w:r w:rsidR="00A44F4E">
        <w:rPr>
          <w:lang w:val="en-US"/>
        </w:rPr>
        <w:t>u</w:t>
      </w:r>
      <w:r w:rsidR="00BC3D8B">
        <w:rPr>
          <w:lang w:val="en-US"/>
        </w:rPr>
        <w:t xml:space="preserve">stainable aviation fuel </w:t>
      </w:r>
      <w:r w:rsidRPr="00DA36C3">
        <w:rPr>
          <w:lang w:val="en-US"/>
        </w:rPr>
        <w:t>production underscores the urgency for cost-effective electricity, raising concerns about whether renewable energy could be better utilized in sectors with greater decarbonization potential.</w:t>
      </w:r>
    </w:p>
    <w:p w14:paraId="1BEE0C70" w14:textId="77777777" w:rsidR="0018652D" w:rsidRDefault="0018652D">
      <w:pPr>
        <w:spacing w:before="0" w:after="0"/>
        <w:jc w:val="left"/>
        <w:rPr>
          <w:lang w:val="en-US"/>
        </w:rPr>
      </w:pPr>
      <w:r>
        <w:rPr>
          <w:lang w:val="en-US"/>
        </w:rPr>
        <w:br w:type="page"/>
      </w:r>
    </w:p>
    <w:p w14:paraId="7C86555E" w14:textId="77777777" w:rsidR="000C5ADE" w:rsidRDefault="0018652D" w:rsidP="0018652D">
      <w:pPr>
        <w:spacing w:before="0" w:after="0"/>
        <w:jc w:val="right"/>
        <w:rPr>
          <w:rFonts w:asciiTheme="majorHAnsi" w:hAnsiTheme="majorHAnsi" w:cstheme="majorHAnsi"/>
          <w:sz w:val="96"/>
          <w:szCs w:val="96"/>
          <w:lang w:val="en-US"/>
        </w:rPr>
      </w:pPr>
      <w:r w:rsidRPr="00670221">
        <w:rPr>
          <w:rFonts w:asciiTheme="majorHAnsi" w:hAnsiTheme="majorHAnsi" w:cstheme="majorHAnsi"/>
          <w:sz w:val="96"/>
          <w:szCs w:val="96"/>
          <w:lang w:val="en-US"/>
        </w:rPr>
        <w:lastRenderedPageBreak/>
        <w:t>A</w:t>
      </w:r>
      <w:r>
        <w:rPr>
          <w:rFonts w:asciiTheme="majorHAnsi" w:hAnsiTheme="majorHAnsi" w:cstheme="majorHAnsi"/>
          <w:sz w:val="96"/>
          <w:szCs w:val="96"/>
          <w:lang w:val="en-US"/>
        </w:rPr>
        <w:t>cknowledgements</w:t>
      </w:r>
    </w:p>
    <w:p w14:paraId="7F4BD50B" w14:textId="77777777" w:rsidR="000C5ADE" w:rsidRPr="000C5ADE" w:rsidRDefault="000C5ADE" w:rsidP="000C5ADE">
      <w:r w:rsidRPr="000C5ADE">
        <w:t>This thesis marks the end of a fulfilling academic journey, beginning with my studies in Science, Business, and Innovation at the Vrije Universiteit Amsterdam and concluding with the Energy track within Complex Systems Engineering and Management at Delft University of Technology. It has been a period of deep learning, exploration, and growth, and I am pleased to share the outcome of my work.</w:t>
      </w:r>
    </w:p>
    <w:p w14:paraId="77B60B99" w14:textId="41975AEC" w:rsidR="000C5ADE" w:rsidRPr="000C5ADE" w:rsidRDefault="000C5ADE" w:rsidP="000C5ADE">
      <w:r w:rsidRPr="000C5ADE">
        <w:t>I owe a great deal of gratitude to those who made this journey possible. First and foremost, I would like to thank my primary supervisor and chair, Rudi Hakvoort. Your guidance and expertise were essential throughout the research, and our conversations always left me with new insights and directions to pursue. I am also deeply appreciative of my second supervisor, Jan Anne Annema, whose clear and constructive feedback played a crucial role in shaping my work.</w:t>
      </w:r>
      <w:r w:rsidR="005D7E2D">
        <w:t xml:space="preserve"> </w:t>
      </w:r>
      <w:r w:rsidRPr="000C5ADE">
        <w:t xml:space="preserve">Although my approach to this project may have been unconventional at times, I am incredibly grateful for the flexibility and openness of my supervisors. They were consistently available, even during summer breaks, on Friday afternoons, and at </w:t>
      </w:r>
      <w:r w:rsidR="00D63514">
        <w:t xml:space="preserve">very </w:t>
      </w:r>
      <w:r w:rsidRPr="000C5ADE">
        <w:t>short notice. These meetings were not only productive but also genuinely enjoyable, and their collective expertise greatly enriched the quality of my research.</w:t>
      </w:r>
    </w:p>
    <w:p w14:paraId="65BB8975" w14:textId="77777777" w:rsidR="000C5ADE" w:rsidRDefault="000C5ADE" w:rsidP="000C5ADE">
      <w:r w:rsidRPr="000C5ADE">
        <w:t>My gratitude extends to Skytree, my internship provider, for giving me the opportunity to collaborate on this project. I would like to specifically acknowledge Ot Messemaker, my external supervisor, for his guidance and support, which were invaluable throughout my time at the company.</w:t>
      </w:r>
    </w:p>
    <w:p w14:paraId="28BEA8FC" w14:textId="4828F846" w:rsidR="00E23E99" w:rsidRPr="000C5ADE" w:rsidRDefault="00E23E99" w:rsidP="000C5ADE">
      <w:r w:rsidRPr="000C5ADE">
        <w:t>I would also like to thank Josephine Vos for her thoughtful feedback on my model, which significantly contributed to the clarity and accuracy of my analysis.</w:t>
      </w:r>
    </w:p>
    <w:p w14:paraId="02CC13A3" w14:textId="77777777" w:rsidR="003F49DC" w:rsidRDefault="003F49DC" w:rsidP="000C5ADE">
      <w:r w:rsidRPr="003F49DC">
        <w:t>Finally, I want to express my deepest thanks to my family and close friends. Your constant encouragement, patience, and belief in my abilities have been my greatest sources of motivation. A special mention goes to my late grandfather, John Leo, who was a true inspiration during difficult times. I hope that I have made him proud with this achievement. I am profoundly grateful for the love and support from all of you, which helped me stay focused and determined during challenging times.</w:t>
      </w:r>
    </w:p>
    <w:p w14:paraId="04D0B899" w14:textId="1E7B7F37" w:rsidR="000C5ADE" w:rsidRDefault="000C5ADE" w:rsidP="000C5ADE">
      <w:r w:rsidRPr="000C5ADE">
        <w:t>Thank you to everyone who contributed to this thesis and to my academic journey as a whole.</w:t>
      </w:r>
    </w:p>
    <w:p w14:paraId="5B10AAB2" w14:textId="1086D1EA" w:rsidR="00A37653" w:rsidRPr="00A37653" w:rsidRDefault="00A37653" w:rsidP="00A37653">
      <w:pPr>
        <w:jc w:val="right"/>
        <w:rPr>
          <w:i/>
          <w:iCs/>
        </w:rPr>
      </w:pPr>
      <w:r w:rsidRPr="00A37653">
        <w:rPr>
          <w:i/>
          <w:iCs/>
        </w:rPr>
        <w:t>Taeke Tamsma</w:t>
      </w:r>
    </w:p>
    <w:p w14:paraId="02CA1E75" w14:textId="0059B16E" w:rsidR="00A37653" w:rsidRPr="000C5ADE" w:rsidRDefault="00A37653" w:rsidP="00A37653">
      <w:pPr>
        <w:jc w:val="right"/>
        <w:rPr>
          <w:i/>
          <w:iCs/>
        </w:rPr>
      </w:pPr>
      <w:r w:rsidRPr="00A37653">
        <w:rPr>
          <w:i/>
          <w:iCs/>
        </w:rPr>
        <w:t>Delft, November 2024</w:t>
      </w:r>
    </w:p>
    <w:p w14:paraId="4AEBF05F" w14:textId="5340EB0E" w:rsidR="003829A8" w:rsidRPr="0018652D" w:rsidRDefault="003829A8" w:rsidP="000C5ADE">
      <w:pPr>
        <w:rPr>
          <w:rFonts w:asciiTheme="majorHAnsi" w:hAnsiTheme="majorHAnsi" w:cstheme="majorHAnsi"/>
          <w:sz w:val="96"/>
          <w:szCs w:val="96"/>
          <w:lang w:val="en-US"/>
        </w:rPr>
      </w:pPr>
      <w:r w:rsidRPr="00670221">
        <w:br w:type="page"/>
      </w:r>
    </w:p>
    <w:p w14:paraId="4E7C5BEB" w14:textId="77777777" w:rsidR="00175F65" w:rsidRDefault="00044FD0" w:rsidP="00392D36">
      <w:pPr>
        <w:jc w:val="right"/>
        <w:rPr>
          <w:rFonts w:asciiTheme="majorHAnsi" w:hAnsiTheme="majorHAnsi" w:cstheme="majorHAnsi"/>
          <w:sz w:val="96"/>
          <w:szCs w:val="96"/>
          <w:lang w:val="en-US"/>
        </w:rPr>
      </w:pPr>
      <w:r>
        <w:rPr>
          <w:rFonts w:asciiTheme="majorHAnsi" w:hAnsiTheme="majorHAnsi" w:cstheme="majorHAnsi"/>
          <w:sz w:val="96"/>
          <w:szCs w:val="96"/>
          <w:lang w:val="en-US"/>
        </w:rPr>
        <w:lastRenderedPageBreak/>
        <w:t xml:space="preserve">List of </w:t>
      </w:r>
      <w:r w:rsidR="00175F65">
        <w:rPr>
          <w:rFonts w:asciiTheme="majorHAnsi" w:hAnsiTheme="majorHAnsi" w:cstheme="majorHAnsi"/>
          <w:sz w:val="96"/>
          <w:szCs w:val="96"/>
          <w:lang w:val="en-US"/>
        </w:rPr>
        <w:t>Abbreviations</w:t>
      </w:r>
    </w:p>
    <w:p w14:paraId="02BF6C67" w14:textId="40A96B59" w:rsidR="00E10F03" w:rsidRPr="00E10F03" w:rsidRDefault="00E10F03" w:rsidP="00BC298F">
      <w:pPr>
        <w:spacing w:before="0" w:after="0" w:line="276" w:lineRule="auto"/>
        <w:rPr>
          <w:b/>
          <w:bCs/>
          <w:lang w:val="en-US"/>
        </w:rPr>
      </w:pPr>
      <w:r w:rsidRPr="00E10F03">
        <w:rPr>
          <w:b/>
          <w:bCs/>
          <w:lang w:val="en-US"/>
        </w:rPr>
        <w:t>Abbreviation</w:t>
      </w:r>
      <w:r w:rsidRPr="00E10F03">
        <w:rPr>
          <w:b/>
          <w:bCs/>
          <w:lang w:val="en-US"/>
        </w:rPr>
        <w:tab/>
        <w:t>Definition</w:t>
      </w:r>
    </w:p>
    <w:p w14:paraId="60DD391D" w14:textId="15A1FEFA" w:rsidR="003D0173" w:rsidRPr="003D0173" w:rsidRDefault="003D0173" w:rsidP="00BC298F">
      <w:pPr>
        <w:spacing w:before="0" w:after="0" w:line="276" w:lineRule="auto"/>
        <w:rPr>
          <w:lang w:val="en-US"/>
        </w:rPr>
      </w:pPr>
      <w:r w:rsidRPr="003D0173">
        <w:rPr>
          <w:lang w:val="en-US"/>
        </w:rPr>
        <w:t>AE</w:t>
      </w:r>
      <w:r w:rsidR="00E117EF">
        <w:rPr>
          <w:lang w:val="en-US"/>
        </w:rPr>
        <w:tab/>
      </w:r>
      <w:r w:rsidR="00E117EF">
        <w:rPr>
          <w:lang w:val="en-US"/>
        </w:rPr>
        <w:tab/>
      </w:r>
      <w:r w:rsidRPr="003D0173">
        <w:rPr>
          <w:lang w:val="en-US"/>
        </w:rPr>
        <w:t>Alkaline Electrolysis</w:t>
      </w:r>
    </w:p>
    <w:p w14:paraId="21E4F490" w14:textId="03A30F7B" w:rsidR="003D0173" w:rsidRPr="003D0173" w:rsidRDefault="003D0173" w:rsidP="00BC298F">
      <w:pPr>
        <w:spacing w:before="0" w:after="0" w:line="276" w:lineRule="auto"/>
        <w:rPr>
          <w:lang w:val="en-US"/>
        </w:rPr>
      </w:pPr>
      <w:r w:rsidRPr="003D0173">
        <w:rPr>
          <w:lang w:val="en-US"/>
        </w:rPr>
        <w:t>ASTM</w:t>
      </w:r>
      <w:r w:rsidR="00E117EF">
        <w:rPr>
          <w:lang w:val="en-US"/>
        </w:rPr>
        <w:tab/>
      </w:r>
      <w:r w:rsidR="00E117EF">
        <w:rPr>
          <w:lang w:val="en-US"/>
        </w:rPr>
        <w:tab/>
      </w:r>
      <w:r w:rsidRPr="003D0173">
        <w:rPr>
          <w:lang w:val="en-US"/>
        </w:rPr>
        <w:t>American Society for Testing and Materials</w:t>
      </w:r>
    </w:p>
    <w:p w14:paraId="678708C9" w14:textId="3705A0E1" w:rsidR="003D0173" w:rsidRPr="003D0173" w:rsidRDefault="003D0173" w:rsidP="00BC298F">
      <w:pPr>
        <w:spacing w:before="0" w:after="0" w:line="276" w:lineRule="auto"/>
        <w:rPr>
          <w:lang w:val="en-US"/>
        </w:rPr>
      </w:pPr>
      <w:r w:rsidRPr="003D0173">
        <w:rPr>
          <w:lang w:val="en-US"/>
        </w:rPr>
        <w:t>ATJ</w:t>
      </w:r>
      <w:r w:rsidR="00E117EF">
        <w:rPr>
          <w:lang w:val="en-US"/>
        </w:rPr>
        <w:tab/>
      </w:r>
      <w:r w:rsidR="00E117EF">
        <w:rPr>
          <w:lang w:val="en-US"/>
        </w:rPr>
        <w:tab/>
      </w:r>
      <w:r w:rsidRPr="003D0173">
        <w:rPr>
          <w:lang w:val="en-US"/>
        </w:rPr>
        <w:t>Alcohol-to-Jet</w:t>
      </w:r>
    </w:p>
    <w:p w14:paraId="4268E401" w14:textId="5131C7D1" w:rsidR="003D0173" w:rsidRPr="003D0173" w:rsidRDefault="003D0173" w:rsidP="00BC298F">
      <w:pPr>
        <w:spacing w:before="0" w:after="0" w:line="276" w:lineRule="auto"/>
        <w:rPr>
          <w:lang w:val="en-US"/>
        </w:rPr>
      </w:pPr>
      <w:r w:rsidRPr="003D0173">
        <w:rPr>
          <w:lang w:val="en-US"/>
        </w:rPr>
        <w:t>BECCS</w:t>
      </w:r>
      <w:r w:rsidR="00E117EF">
        <w:rPr>
          <w:lang w:val="en-US"/>
        </w:rPr>
        <w:tab/>
      </w:r>
      <w:r w:rsidR="00E117EF">
        <w:rPr>
          <w:lang w:val="en-US"/>
        </w:rPr>
        <w:tab/>
      </w:r>
      <w:r w:rsidRPr="003D0173">
        <w:rPr>
          <w:lang w:val="en-US"/>
        </w:rPr>
        <w:t>Bioenergy with Carbon Capture and Storage</w:t>
      </w:r>
    </w:p>
    <w:p w14:paraId="4CFFE429" w14:textId="57C6E514" w:rsidR="003D0173" w:rsidRPr="003D0173" w:rsidRDefault="003D0173" w:rsidP="00BC298F">
      <w:pPr>
        <w:spacing w:before="0" w:after="0" w:line="276" w:lineRule="auto"/>
        <w:rPr>
          <w:lang w:val="en-US"/>
        </w:rPr>
      </w:pPr>
      <w:r w:rsidRPr="003D0173">
        <w:rPr>
          <w:lang w:val="en-US"/>
        </w:rPr>
        <w:t>BIO</w:t>
      </w:r>
      <w:r w:rsidR="00E117EF">
        <w:rPr>
          <w:lang w:val="en-US"/>
        </w:rPr>
        <w:tab/>
      </w:r>
      <w:r w:rsidR="00E117EF">
        <w:rPr>
          <w:lang w:val="en-US"/>
        </w:rPr>
        <w:tab/>
      </w:r>
      <w:r w:rsidRPr="003D0173">
        <w:rPr>
          <w:lang w:val="en-US"/>
        </w:rPr>
        <w:t>Biogenic CO₂</w:t>
      </w:r>
    </w:p>
    <w:p w14:paraId="7B004C95" w14:textId="77777777" w:rsidR="00A7177F" w:rsidRPr="003D0173" w:rsidRDefault="00A7177F" w:rsidP="00BC298F">
      <w:pPr>
        <w:spacing w:before="0" w:after="0" w:line="276" w:lineRule="auto"/>
        <w:rPr>
          <w:lang w:val="en-US"/>
        </w:rPr>
      </w:pPr>
      <w:r w:rsidRPr="003D0173">
        <w:rPr>
          <w:lang w:val="en-US"/>
        </w:rPr>
        <w:t>C</w:t>
      </w:r>
      <w:r>
        <w:rPr>
          <w:lang w:val="en-US"/>
        </w:rPr>
        <w:tab/>
      </w:r>
      <w:r>
        <w:rPr>
          <w:lang w:val="en-US"/>
        </w:rPr>
        <w:tab/>
      </w:r>
      <w:r w:rsidRPr="003D0173">
        <w:rPr>
          <w:lang w:val="en-US"/>
        </w:rPr>
        <w:t>Degrees Celsius</w:t>
      </w:r>
    </w:p>
    <w:p w14:paraId="0FE0E505" w14:textId="5A23DF44" w:rsidR="003D0173" w:rsidRPr="003D0173" w:rsidRDefault="003D0173" w:rsidP="00BC298F">
      <w:pPr>
        <w:spacing w:before="0" w:after="0" w:line="276" w:lineRule="auto"/>
        <w:rPr>
          <w:lang w:val="en-US"/>
        </w:rPr>
      </w:pPr>
      <w:r w:rsidRPr="003D0173">
        <w:rPr>
          <w:lang w:val="en-US"/>
        </w:rPr>
        <w:t>CAPEX</w:t>
      </w:r>
      <w:r w:rsidR="00E117EF">
        <w:rPr>
          <w:lang w:val="en-US"/>
        </w:rPr>
        <w:tab/>
      </w:r>
      <w:r w:rsidR="00E117EF">
        <w:rPr>
          <w:lang w:val="en-US"/>
        </w:rPr>
        <w:tab/>
      </w:r>
      <w:r w:rsidRPr="003D0173">
        <w:rPr>
          <w:lang w:val="en-US"/>
        </w:rPr>
        <w:t>Capital Expenditure</w:t>
      </w:r>
    </w:p>
    <w:p w14:paraId="4A4FBBCE" w14:textId="287BE109" w:rsidR="003D0173" w:rsidRPr="003D0173" w:rsidRDefault="003D0173" w:rsidP="00BC298F">
      <w:pPr>
        <w:spacing w:before="0" w:after="0" w:line="276" w:lineRule="auto"/>
        <w:rPr>
          <w:lang w:val="en-US"/>
        </w:rPr>
      </w:pPr>
      <w:r w:rsidRPr="003D0173">
        <w:rPr>
          <w:lang w:val="en-US"/>
        </w:rPr>
        <w:t>CDR</w:t>
      </w:r>
      <w:r w:rsidR="00E117EF">
        <w:rPr>
          <w:lang w:val="en-US"/>
        </w:rPr>
        <w:tab/>
      </w:r>
      <w:r w:rsidR="00E117EF">
        <w:rPr>
          <w:lang w:val="en-US"/>
        </w:rPr>
        <w:tab/>
      </w:r>
      <w:r w:rsidRPr="003D0173">
        <w:rPr>
          <w:lang w:val="en-US"/>
        </w:rPr>
        <w:t>Carbon Dioxide Removal</w:t>
      </w:r>
    </w:p>
    <w:p w14:paraId="6FE4AABF" w14:textId="184B2EE2" w:rsidR="003D0173" w:rsidRPr="003D0173" w:rsidRDefault="003D0173" w:rsidP="00BC298F">
      <w:pPr>
        <w:spacing w:before="0" w:after="0" w:line="276" w:lineRule="auto"/>
        <w:rPr>
          <w:lang w:val="en-US"/>
        </w:rPr>
      </w:pPr>
      <w:r w:rsidRPr="003D0173">
        <w:rPr>
          <w:lang w:val="en-US"/>
        </w:rPr>
        <w:t>CCU</w:t>
      </w:r>
      <w:r w:rsidR="00E117EF">
        <w:rPr>
          <w:lang w:val="en-US"/>
        </w:rPr>
        <w:tab/>
      </w:r>
      <w:r w:rsidR="00E117EF">
        <w:rPr>
          <w:lang w:val="en-US"/>
        </w:rPr>
        <w:tab/>
      </w:r>
      <w:r w:rsidRPr="003D0173">
        <w:rPr>
          <w:lang w:val="en-US"/>
        </w:rPr>
        <w:t>Carbon Capture and Utilization</w:t>
      </w:r>
    </w:p>
    <w:p w14:paraId="32774438" w14:textId="2C08EDCB" w:rsidR="003D0173" w:rsidRPr="003D0173" w:rsidRDefault="003D0173" w:rsidP="00BC298F">
      <w:pPr>
        <w:spacing w:before="0" w:after="0" w:line="276" w:lineRule="auto"/>
        <w:rPr>
          <w:lang w:val="en-US"/>
        </w:rPr>
      </w:pPr>
      <w:r w:rsidRPr="003D0173">
        <w:rPr>
          <w:lang w:val="en-US"/>
        </w:rPr>
        <w:t>CO</w:t>
      </w:r>
      <w:r w:rsidR="00E117EF">
        <w:rPr>
          <w:lang w:val="en-US"/>
        </w:rPr>
        <w:tab/>
      </w:r>
      <w:r w:rsidR="00E117EF">
        <w:rPr>
          <w:lang w:val="en-US"/>
        </w:rPr>
        <w:tab/>
      </w:r>
      <w:r w:rsidRPr="003D0173">
        <w:rPr>
          <w:lang w:val="en-US"/>
        </w:rPr>
        <w:t>Carbon Monoxide</w:t>
      </w:r>
    </w:p>
    <w:p w14:paraId="2480E24D" w14:textId="0BFDEBE5" w:rsidR="003D0173" w:rsidRPr="003D0173" w:rsidRDefault="003D0173" w:rsidP="00BC298F">
      <w:pPr>
        <w:spacing w:before="0" w:after="0" w:line="276" w:lineRule="auto"/>
        <w:rPr>
          <w:lang w:val="en-US"/>
        </w:rPr>
      </w:pPr>
      <w:r w:rsidRPr="003D0173">
        <w:rPr>
          <w:lang w:val="en-US"/>
        </w:rPr>
        <w:t>CO₂</w:t>
      </w:r>
      <w:r w:rsidR="00E117EF">
        <w:rPr>
          <w:lang w:val="en-US"/>
        </w:rPr>
        <w:tab/>
      </w:r>
      <w:r w:rsidR="00E117EF">
        <w:rPr>
          <w:lang w:val="en-US"/>
        </w:rPr>
        <w:tab/>
      </w:r>
      <w:r w:rsidRPr="003D0173">
        <w:rPr>
          <w:lang w:val="en-US"/>
        </w:rPr>
        <w:t>Carbon Dioxide</w:t>
      </w:r>
    </w:p>
    <w:p w14:paraId="7F766229" w14:textId="25AB21E7" w:rsidR="003D0173" w:rsidRPr="003D0173" w:rsidRDefault="003D0173" w:rsidP="00BC298F">
      <w:pPr>
        <w:spacing w:before="0" w:after="0" w:line="276" w:lineRule="auto"/>
        <w:rPr>
          <w:lang w:val="en-US"/>
        </w:rPr>
      </w:pPr>
      <w:r w:rsidRPr="003D0173">
        <w:rPr>
          <w:lang w:val="en-US"/>
        </w:rPr>
        <w:t>CORSIA</w:t>
      </w:r>
      <w:r w:rsidR="00E117EF">
        <w:rPr>
          <w:lang w:val="en-US"/>
        </w:rPr>
        <w:tab/>
      </w:r>
      <w:r w:rsidRPr="003D0173">
        <w:rPr>
          <w:lang w:val="en-US"/>
        </w:rPr>
        <w:t>Carbon Offsetting and Reduction Scheme for International Aviation</w:t>
      </w:r>
    </w:p>
    <w:p w14:paraId="7BA0B5F4" w14:textId="70FB54DA" w:rsidR="003D0173" w:rsidRPr="003D0173" w:rsidRDefault="003D0173" w:rsidP="00BC298F">
      <w:pPr>
        <w:spacing w:before="0" w:after="0" w:line="276" w:lineRule="auto"/>
        <w:rPr>
          <w:lang w:val="en-US"/>
        </w:rPr>
      </w:pPr>
      <w:r w:rsidRPr="003D0173">
        <w:rPr>
          <w:lang w:val="en-US"/>
        </w:rPr>
        <w:t>CSP</w:t>
      </w:r>
      <w:r w:rsidR="00E117EF">
        <w:rPr>
          <w:lang w:val="en-US"/>
        </w:rPr>
        <w:tab/>
      </w:r>
      <w:r w:rsidR="00E117EF">
        <w:rPr>
          <w:lang w:val="en-US"/>
        </w:rPr>
        <w:tab/>
      </w:r>
      <w:r w:rsidRPr="003D0173">
        <w:rPr>
          <w:lang w:val="en-US"/>
        </w:rPr>
        <w:t>Concentrated Solar Power</w:t>
      </w:r>
    </w:p>
    <w:p w14:paraId="5F71439B" w14:textId="04019C83" w:rsidR="003D0173" w:rsidRPr="003D0173" w:rsidRDefault="003D0173" w:rsidP="00BC298F">
      <w:pPr>
        <w:spacing w:before="0" w:after="0" w:line="276" w:lineRule="auto"/>
        <w:rPr>
          <w:lang w:val="en-US"/>
        </w:rPr>
      </w:pPr>
      <w:r w:rsidRPr="003D0173">
        <w:rPr>
          <w:lang w:val="en-US"/>
        </w:rPr>
        <w:t>DAC</w:t>
      </w:r>
      <w:r w:rsidR="00E117EF">
        <w:rPr>
          <w:lang w:val="en-US"/>
        </w:rPr>
        <w:tab/>
      </w:r>
      <w:r w:rsidR="00E117EF">
        <w:rPr>
          <w:lang w:val="en-US"/>
        </w:rPr>
        <w:tab/>
      </w:r>
      <w:r w:rsidRPr="003D0173">
        <w:rPr>
          <w:lang w:val="en-US"/>
        </w:rPr>
        <w:t>Direct Air Capture</w:t>
      </w:r>
    </w:p>
    <w:p w14:paraId="173B75CA" w14:textId="53B9A220" w:rsidR="003D0173" w:rsidRPr="003D0173" w:rsidRDefault="003D0173" w:rsidP="00BC298F">
      <w:pPr>
        <w:spacing w:before="0" w:after="0" w:line="276" w:lineRule="auto"/>
        <w:rPr>
          <w:lang w:val="en-US"/>
        </w:rPr>
      </w:pPr>
      <w:r w:rsidRPr="003D0173">
        <w:rPr>
          <w:lang w:val="en-US"/>
        </w:rPr>
        <w:t>EASA</w:t>
      </w:r>
      <w:r w:rsidR="00E117EF">
        <w:rPr>
          <w:lang w:val="en-US"/>
        </w:rPr>
        <w:tab/>
      </w:r>
      <w:r w:rsidR="00E117EF">
        <w:rPr>
          <w:lang w:val="en-US"/>
        </w:rPr>
        <w:tab/>
      </w:r>
      <w:r w:rsidRPr="003D0173">
        <w:rPr>
          <w:lang w:val="en-US"/>
        </w:rPr>
        <w:t>European Union Aviation Safety Agency</w:t>
      </w:r>
    </w:p>
    <w:p w14:paraId="5F22901C" w14:textId="7625A54D" w:rsidR="003D0173" w:rsidRPr="003D0173" w:rsidRDefault="003D0173" w:rsidP="00BC298F">
      <w:pPr>
        <w:spacing w:before="0" w:after="0" w:line="276" w:lineRule="auto"/>
        <w:rPr>
          <w:lang w:val="en-US"/>
        </w:rPr>
      </w:pPr>
      <w:r w:rsidRPr="003D0173">
        <w:rPr>
          <w:lang w:val="en-US"/>
        </w:rPr>
        <w:t>e-fuel</w:t>
      </w:r>
      <w:r w:rsidR="00E117EF">
        <w:rPr>
          <w:lang w:val="en-US"/>
        </w:rPr>
        <w:tab/>
      </w:r>
      <w:r w:rsidR="00E117EF">
        <w:rPr>
          <w:lang w:val="en-US"/>
        </w:rPr>
        <w:tab/>
      </w:r>
      <w:proofErr w:type="spellStart"/>
      <w:r w:rsidRPr="003D0173">
        <w:rPr>
          <w:lang w:val="en-US"/>
        </w:rPr>
        <w:t>Electrofuel</w:t>
      </w:r>
      <w:proofErr w:type="spellEnd"/>
    </w:p>
    <w:p w14:paraId="4BFF782F" w14:textId="16FD3931" w:rsidR="003D0173" w:rsidRPr="003D0173" w:rsidRDefault="003D0173" w:rsidP="00BC298F">
      <w:pPr>
        <w:spacing w:before="0" w:after="0" w:line="276" w:lineRule="auto"/>
        <w:rPr>
          <w:lang w:val="en-US"/>
        </w:rPr>
      </w:pPr>
      <w:proofErr w:type="spellStart"/>
      <w:r w:rsidRPr="003D0173">
        <w:rPr>
          <w:lang w:val="en-US"/>
        </w:rPr>
        <w:t>eSAF</w:t>
      </w:r>
      <w:proofErr w:type="spellEnd"/>
      <w:r w:rsidR="00E117EF">
        <w:rPr>
          <w:lang w:val="en-US"/>
        </w:rPr>
        <w:tab/>
      </w:r>
      <w:r w:rsidR="00E117EF">
        <w:rPr>
          <w:lang w:val="en-US"/>
        </w:rPr>
        <w:tab/>
      </w:r>
      <w:r w:rsidRPr="003D0173">
        <w:rPr>
          <w:lang w:val="en-US"/>
        </w:rPr>
        <w:t>Synthetic Sustainable Aviation Fuel</w:t>
      </w:r>
    </w:p>
    <w:p w14:paraId="22B28023" w14:textId="5255078C" w:rsidR="003D0173" w:rsidRPr="003D0173" w:rsidRDefault="003D0173" w:rsidP="00BC298F">
      <w:pPr>
        <w:spacing w:before="0" w:after="0" w:line="276" w:lineRule="auto"/>
        <w:rPr>
          <w:lang w:val="en-US"/>
        </w:rPr>
      </w:pPr>
      <w:r w:rsidRPr="003D0173">
        <w:rPr>
          <w:lang w:val="en-US"/>
        </w:rPr>
        <w:t>ETS</w:t>
      </w:r>
      <w:r w:rsidR="00E117EF">
        <w:rPr>
          <w:lang w:val="en-US"/>
        </w:rPr>
        <w:tab/>
      </w:r>
      <w:r w:rsidR="00E117EF">
        <w:rPr>
          <w:lang w:val="en-US"/>
        </w:rPr>
        <w:tab/>
      </w:r>
      <w:r w:rsidRPr="003D0173">
        <w:rPr>
          <w:lang w:val="en-US"/>
        </w:rPr>
        <w:t>Emissions Trading System</w:t>
      </w:r>
    </w:p>
    <w:p w14:paraId="249B2BE7" w14:textId="1B9C86EC" w:rsidR="003D0173" w:rsidRPr="003D0173" w:rsidRDefault="003D0173" w:rsidP="00BC298F">
      <w:pPr>
        <w:spacing w:before="0" w:after="0" w:line="276" w:lineRule="auto"/>
        <w:rPr>
          <w:lang w:val="en-US"/>
        </w:rPr>
      </w:pPr>
      <w:r w:rsidRPr="003D0173">
        <w:rPr>
          <w:lang w:val="en-US"/>
        </w:rPr>
        <w:t>EU</w:t>
      </w:r>
      <w:r w:rsidR="00E117EF">
        <w:rPr>
          <w:lang w:val="en-US"/>
        </w:rPr>
        <w:tab/>
      </w:r>
      <w:r w:rsidR="00E117EF">
        <w:rPr>
          <w:lang w:val="en-US"/>
        </w:rPr>
        <w:tab/>
      </w:r>
      <w:r w:rsidRPr="003D0173">
        <w:rPr>
          <w:lang w:val="en-US"/>
        </w:rPr>
        <w:t>European Unio</w:t>
      </w:r>
      <w:r w:rsidR="00A7177F">
        <w:rPr>
          <w:lang w:val="en-US"/>
        </w:rPr>
        <w:t>n</w:t>
      </w:r>
    </w:p>
    <w:p w14:paraId="6FEFF4E3" w14:textId="2F7C0239" w:rsidR="003D0173" w:rsidRPr="003D0173" w:rsidRDefault="003D0173" w:rsidP="00BC298F">
      <w:pPr>
        <w:spacing w:before="0" w:after="0" w:line="276" w:lineRule="auto"/>
        <w:rPr>
          <w:lang w:val="en-US"/>
        </w:rPr>
      </w:pPr>
      <w:r w:rsidRPr="003D0173">
        <w:rPr>
          <w:lang w:val="en-US"/>
        </w:rPr>
        <w:t>FID</w:t>
      </w:r>
      <w:r w:rsidR="00E117EF">
        <w:rPr>
          <w:lang w:val="en-US"/>
        </w:rPr>
        <w:tab/>
      </w:r>
      <w:r w:rsidR="00E117EF">
        <w:rPr>
          <w:lang w:val="en-US"/>
        </w:rPr>
        <w:tab/>
      </w:r>
      <w:r w:rsidRPr="003D0173">
        <w:rPr>
          <w:lang w:val="en-US"/>
        </w:rPr>
        <w:t>Final Investment Decision</w:t>
      </w:r>
    </w:p>
    <w:p w14:paraId="63929C9A" w14:textId="727E5F1E" w:rsidR="003D0173" w:rsidRPr="003D0173" w:rsidRDefault="003D0173" w:rsidP="00BC298F">
      <w:pPr>
        <w:spacing w:before="0" w:after="0" w:line="276" w:lineRule="auto"/>
        <w:rPr>
          <w:lang w:val="en-US"/>
        </w:rPr>
      </w:pPr>
      <w:r w:rsidRPr="003D0173">
        <w:rPr>
          <w:lang w:val="en-US"/>
        </w:rPr>
        <w:t>FT</w:t>
      </w:r>
      <w:r w:rsidR="00E117EF">
        <w:rPr>
          <w:lang w:val="en-US"/>
        </w:rPr>
        <w:tab/>
      </w:r>
      <w:r w:rsidR="00E117EF">
        <w:rPr>
          <w:lang w:val="en-US"/>
        </w:rPr>
        <w:tab/>
      </w:r>
      <w:r w:rsidRPr="003D0173">
        <w:rPr>
          <w:lang w:val="en-US"/>
        </w:rPr>
        <w:t>Fischer-</w:t>
      </w:r>
      <w:proofErr w:type="spellStart"/>
      <w:r w:rsidRPr="003D0173">
        <w:rPr>
          <w:lang w:val="en-US"/>
        </w:rPr>
        <w:t>Tropsch</w:t>
      </w:r>
      <w:proofErr w:type="spellEnd"/>
    </w:p>
    <w:p w14:paraId="0A8EAE9E" w14:textId="52B256BE" w:rsidR="003D0173" w:rsidRPr="003D0173" w:rsidRDefault="003D0173" w:rsidP="00BC298F">
      <w:pPr>
        <w:spacing w:before="0" w:after="0" w:line="276" w:lineRule="auto"/>
        <w:rPr>
          <w:lang w:val="en-US"/>
        </w:rPr>
      </w:pPr>
      <w:r w:rsidRPr="003D0173">
        <w:rPr>
          <w:lang w:val="en-US"/>
        </w:rPr>
        <w:t>GHG</w:t>
      </w:r>
      <w:r w:rsidR="00E117EF">
        <w:rPr>
          <w:lang w:val="en-US"/>
        </w:rPr>
        <w:tab/>
      </w:r>
      <w:r w:rsidR="00E117EF">
        <w:rPr>
          <w:lang w:val="en-US"/>
        </w:rPr>
        <w:tab/>
      </w:r>
      <w:r w:rsidRPr="003D0173">
        <w:rPr>
          <w:lang w:val="en-US"/>
        </w:rPr>
        <w:t>Greenhouse Gas</w:t>
      </w:r>
    </w:p>
    <w:p w14:paraId="1ECDA1BE" w14:textId="14802522" w:rsidR="003D0173" w:rsidRPr="003D0173" w:rsidRDefault="003D0173" w:rsidP="00BC298F">
      <w:pPr>
        <w:spacing w:before="0" w:after="0" w:line="276" w:lineRule="auto"/>
        <w:rPr>
          <w:lang w:val="en-US"/>
        </w:rPr>
      </w:pPr>
      <w:r w:rsidRPr="003D0173">
        <w:rPr>
          <w:lang w:val="en-US"/>
        </w:rPr>
        <w:t>HEFA</w:t>
      </w:r>
      <w:r w:rsidR="00E117EF">
        <w:rPr>
          <w:lang w:val="en-US"/>
        </w:rPr>
        <w:tab/>
      </w:r>
      <w:r w:rsidR="00E117EF">
        <w:rPr>
          <w:lang w:val="en-US"/>
        </w:rPr>
        <w:tab/>
      </w:r>
      <w:proofErr w:type="spellStart"/>
      <w:r w:rsidRPr="003D0173">
        <w:rPr>
          <w:lang w:val="en-US"/>
        </w:rPr>
        <w:t>Hydroprocessed</w:t>
      </w:r>
      <w:proofErr w:type="spellEnd"/>
      <w:r w:rsidRPr="003D0173">
        <w:rPr>
          <w:lang w:val="en-US"/>
        </w:rPr>
        <w:t xml:space="preserve"> Esters and Fatty Acids</w:t>
      </w:r>
    </w:p>
    <w:p w14:paraId="51C2AE4B" w14:textId="0D961467" w:rsidR="003D0173" w:rsidRPr="003D0173" w:rsidRDefault="003D0173" w:rsidP="00BC298F">
      <w:pPr>
        <w:spacing w:before="0" w:after="0" w:line="276" w:lineRule="auto"/>
        <w:rPr>
          <w:lang w:val="en-US"/>
        </w:rPr>
      </w:pPr>
      <w:r w:rsidRPr="003D0173">
        <w:rPr>
          <w:lang w:val="en-US"/>
        </w:rPr>
        <w:t>H₂</w:t>
      </w:r>
      <w:r w:rsidR="00E117EF">
        <w:rPr>
          <w:lang w:val="en-US"/>
        </w:rPr>
        <w:tab/>
      </w:r>
      <w:r w:rsidR="00E117EF">
        <w:rPr>
          <w:lang w:val="en-US"/>
        </w:rPr>
        <w:tab/>
      </w:r>
      <w:r w:rsidRPr="003D0173">
        <w:rPr>
          <w:lang w:val="en-US"/>
        </w:rPr>
        <w:t>Hydrogen</w:t>
      </w:r>
    </w:p>
    <w:p w14:paraId="34A55CE5" w14:textId="658FA87C" w:rsidR="003D0173" w:rsidRPr="003D0173" w:rsidRDefault="003D0173" w:rsidP="00BC298F">
      <w:pPr>
        <w:spacing w:before="0" w:after="0" w:line="276" w:lineRule="auto"/>
        <w:rPr>
          <w:lang w:val="en-US"/>
        </w:rPr>
      </w:pPr>
      <w:r w:rsidRPr="003D0173">
        <w:rPr>
          <w:lang w:val="en-US"/>
        </w:rPr>
        <w:t>H₂O</w:t>
      </w:r>
      <w:r w:rsidR="00E117EF">
        <w:rPr>
          <w:lang w:val="en-US"/>
        </w:rPr>
        <w:tab/>
      </w:r>
      <w:r w:rsidR="00E117EF">
        <w:rPr>
          <w:lang w:val="en-US"/>
        </w:rPr>
        <w:tab/>
      </w:r>
      <w:r w:rsidRPr="003D0173">
        <w:rPr>
          <w:lang w:val="en-US"/>
        </w:rPr>
        <w:t>Water</w:t>
      </w:r>
    </w:p>
    <w:p w14:paraId="46E99B60" w14:textId="2F5CD0AD" w:rsidR="003D0173" w:rsidRPr="003D0173" w:rsidRDefault="003D0173" w:rsidP="00BC298F">
      <w:pPr>
        <w:spacing w:before="0" w:after="0" w:line="276" w:lineRule="auto"/>
        <w:rPr>
          <w:lang w:val="en-US"/>
        </w:rPr>
      </w:pPr>
      <w:r w:rsidRPr="003D0173">
        <w:rPr>
          <w:lang w:val="en-US"/>
        </w:rPr>
        <w:t>ICAO</w:t>
      </w:r>
      <w:r w:rsidR="00E117EF">
        <w:rPr>
          <w:lang w:val="en-US"/>
        </w:rPr>
        <w:tab/>
      </w:r>
      <w:r w:rsidR="00E117EF">
        <w:rPr>
          <w:lang w:val="en-US"/>
        </w:rPr>
        <w:tab/>
      </w:r>
      <w:r w:rsidRPr="003D0173">
        <w:rPr>
          <w:lang w:val="en-US"/>
        </w:rPr>
        <w:t>International Civil Aviation Organization</w:t>
      </w:r>
    </w:p>
    <w:p w14:paraId="0AFA9815" w14:textId="78252BF0" w:rsidR="003D0173" w:rsidRPr="003D0173" w:rsidRDefault="003D0173" w:rsidP="00BC298F">
      <w:pPr>
        <w:spacing w:before="0" w:after="0" w:line="276" w:lineRule="auto"/>
        <w:rPr>
          <w:lang w:val="en-US"/>
        </w:rPr>
      </w:pPr>
      <w:r w:rsidRPr="003D0173">
        <w:rPr>
          <w:lang w:val="en-US"/>
        </w:rPr>
        <w:t>IATA</w:t>
      </w:r>
      <w:r w:rsidR="00E117EF">
        <w:rPr>
          <w:lang w:val="en-US"/>
        </w:rPr>
        <w:tab/>
      </w:r>
      <w:r w:rsidR="00E117EF">
        <w:rPr>
          <w:lang w:val="en-US"/>
        </w:rPr>
        <w:tab/>
      </w:r>
      <w:r w:rsidRPr="003D0173">
        <w:rPr>
          <w:lang w:val="en-US"/>
        </w:rPr>
        <w:t>International Air Transport Association</w:t>
      </w:r>
    </w:p>
    <w:p w14:paraId="4AA907D0" w14:textId="02A8FC47" w:rsidR="003D0173" w:rsidRPr="003D0173" w:rsidRDefault="003D0173" w:rsidP="00BC298F">
      <w:pPr>
        <w:spacing w:before="0" w:after="0" w:line="276" w:lineRule="auto"/>
        <w:rPr>
          <w:lang w:val="en-US"/>
        </w:rPr>
      </w:pPr>
      <w:r w:rsidRPr="003D0173">
        <w:rPr>
          <w:lang w:val="en-US"/>
        </w:rPr>
        <w:t>IPCC</w:t>
      </w:r>
      <w:r w:rsidR="00E117EF">
        <w:rPr>
          <w:lang w:val="en-US"/>
        </w:rPr>
        <w:tab/>
      </w:r>
      <w:r w:rsidR="00E117EF">
        <w:rPr>
          <w:lang w:val="en-US"/>
        </w:rPr>
        <w:tab/>
      </w:r>
      <w:r w:rsidRPr="003D0173">
        <w:rPr>
          <w:lang w:val="en-US"/>
        </w:rPr>
        <w:t>Intergovernmental Panel on Climate Change</w:t>
      </w:r>
    </w:p>
    <w:p w14:paraId="519D9A84" w14:textId="71EAB6B1" w:rsidR="003D0173" w:rsidRPr="003D0173" w:rsidRDefault="003D0173" w:rsidP="00BC298F">
      <w:pPr>
        <w:spacing w:before="0" w:after="0" w:line="276" w:lineRule="auto"/>
        <w:rPr>
          <w:lang w:val="en-US"/>
        </w:rPr>
      </w:pPr>
      <w:r w:rsidRPr="003D0173">
        <w:rPr>
          <w:lang w:val="en-US"/>
        </w:rPr>
        <w:t>ISPT</w:t>
      </w:r>
      <w:r w:rsidR="00E117EF">
        <w:rPr>
          <w:lang w:val="en-US"/>
        </w:rPr>
        <w:tab/>
      </w:r>
      <w:r w:rsidR="00E117EF">
        <w:rPr>
          <w:lang w:val="en-US"/>
        </w:rPr>
        <w:tab/>
      </w:r>
      <w:r w:rsidRPr="003D0173">
        <w:rPr>
          <w:lang w:val="en-US"/>
        </w:rPr>
        <w:t>Institute for Sustainable Process Technology</w:t>
      </w:r>
    </w:p>
    <w:p w14:paraId="263D9FA2" w14:textId="3E054631" w:rsidR="003D0173" w:rsidRPr="003D0173" w:rsidRDefault="003D0173" w:rsidP="00BC298F">
      <w:pPr>
        <w:spacing w:before="0" w:after="0" w:line="276" w:lineRule="auto"/>
        <w:rPr>
          <w:lang w:val="en-US"/>
        </w:rPr>
      </w:pPr>
      <w:r w:rsidRPr="003D0173">
        <w:rPr>
          <w:lang w:val="en-US"/>
        </w:rPr>
        <w:t>JRC</w:t>
      </w:r>
      <w:r w:rsidR="00E117EF">
        <w:rPr>
          <w:lang w:val="en-US"/>
        </w:rPr>
        <w:tab/>
      </w:r>
      <w:r w:rsidR="00E117EF">
        <w:rPr>
          <w:lang w:val="en-US"/>
        </w:rPr>
        <w:tab/>
      </w:r>
      <w:r w:rsidRPr="003D0173">
        <w:rPr>
          <w:lang w:val="en-US"/>
        </w:rPr>
        <w:t>Joint Research Centre</w:t>
      </w:r>
    </w:p>
    <w:p w14:paraId="2521CFFD" w14:textId="7CEE9B59" w:rsidR="003D0173" w:rsidRPr="003D0173" w:rsidRDefault="003D0173" w:rsidP="00BC298F">
      <w:pPr>
        <w:spacing w:before="0" w:after="0" w:line="276" w:lineRule="auto"/>
        <w:rPr>
          <w:lang w:val="en-US"/>
        </w:rPr>
      </w:pPr>
      <w:r w:rsidRPr="003D0173">
        <w:rPr>
          <w:lang w:val="en-US"/>
        </w:rPr>
        <w:t>kJ</w:t>
      </w:r>
      <w:r w:rsidR="00E117EF">
        <w:rPr>
          <w:lang w:val="en-US"/>
        </w:rPr>
        <w:tab/>
      </w:r>
      <w:r w:rsidR="00E117EF">
        <w:rPr>
          <w:lang w:val="en-US"/>
        </w:rPr>
        <w:tab/>
      </w:r>
      <w:r w:rsidRPr="003D0173">
        <w:rPr>
          <w:lang w:val="en-US"/>
        </w:rPr>
        <w:t>Kilojoule</w:t>
      </w:r>
    </w:p>
    <w:p w14:paraId="1D34D0FD" w14:textId="20454241" w:rsidR="003D0173" w:rsidRPr="003D0173" w:rsidRDefault="003D0173" w:rsidP="00BC298F">
      <w:pPr>
        <w:spacing w:before="0" w:after="0" w:line="276" w:lineRule="auto"/>
        <w:rPr>
          <w:lang w:val="en-US"/>
        </w:rPr>
      </w:pPr>
      <w:r w:rsidRPr="003D0173">
        <w:rPr>
          <w:lang w:val="en-US"/>
        </w:rPr>
        <w:t>kWh</w:t>
      </w:r>
      <w:r w:rsidR="00E117EF">
        <w:rPr>
          <w:lang w:val="en-US"/>
        </w:rPr>
        <w:tab/>
      </w:r>
      <w:r w:rsidR="00E117EF">
        <w:rPr>
          <w:lang w:val="en-US"/>
        </w:rPr>
        <w:tab/>
      </w:r>
      <w:r w:rsidRPr="003D0173">
        <w:rPr>
          <w:lang w:val="en-US"/>
        </w:rPr>
        <w:t>Kilowatt-Hour</w:t>
      </w:r>
    </w:p>
    <w:p w14:paraId="0E42369B" w14:textId="2F3F53B7" w:rsidR="003D0173" w:rsidRPr="003D0173" w:rsidRDefault="003D0173" w:rsidP="00BC298F">
      <w:pPr>
        <w:spacing w:before="0" w:after="0" w:line="276" w:lineRule="auto"/>
        <w:rPr>
          <w:lang w:val="en-US"/>
        </w:rPr>
      </w:pPr>
      <w:proofErr w:type="spellStart"/>
      <w:r w:rsidRPr="003D0173">
        <w:rPr>
          <w:lang w:val="en-US"/>
        </w:rPr>
        <w:t>kWhel</w:t>
      </w:r>
      <w:proofErr w:type="spellEnd"/>
      <w:r w:rsidR="00E117EF">
        <w:rPr>
          <w:lang w:val="en-US"/>
        </w:rPr>
        <w:tab/>
      </w:r>
      <w:r w:rsidR="00E117EF">
        <w:rPr>
          <w:lang w:val="en-US"/>
        </w:rPr>
        <w:tab/>
      </w:r>
      <w:r w:rsidRPr="003D0173">
        <w:rPr>
          <w:lang w:val="en-US"/>
        </w:rPr>
        <w:t>Kilowatt-Hour (Electrical Energy)</w:t>
      </w:r>
    </w:p>
    <w:p w14:paraId="1D3590BB" w14:textId="1B4EB2F7" w:rsidR="003D0173" w:rsidRPr="003D0173" w:rsidRDefault="003D0173" w:rsidP="00BC298F">
      <w:pPr>
        <w:spacing w:before="0" w:after="0" w:line="276" w:lineRule="auto"/>
        <w:rPr>
          <w:lang w:val="en-US"/>
        </w:rPr>
      </w:pPr>
      <w:proofErr w:type="spellStart"/>
      <w:r w:rsidRPr="003D0173">
        <w:rPr>
          <w:lang w:val="en-US"/>
        </w:rPr>
        <w:t>kWhth</w:t>
      </w:r>
      <w:proofErr w:type="spellEnd"/>
      <w:r w:rsidR="00E117EF">
        <w:rPr>
          <w:lang w:val="en-US"/>
        </w:rPr>
        <w:tab/>
      </w:r>
      <w:r w:rsidR="00E117EF">
        <w:rPr>
          <w:lang w:val="en-US"/>
        </w:rPr>
        <w:tab/>
      </w:r>
      <w:r w:rsidRPr="003D0173">
        <w:rPr>
          <w:lang w:val="en-US"/>
        </w:rPr>
        <w:t>Kilowatt-Hour (Thermal Energy)</w:t>
      </w:r>
    </w:p>
    <w:p w14:paraId="0969B724" w14:textId="77777777" w:rsidR="00E117EF" w:rsidRPr="003D0173" w:rsidRDefault="00E117EF" w:rsidP="00BC298F">
      <w:pPr>
        <w:spacing w:before="0" w:after="0" w:line="276" w:lineRule="auto"/>
        <w:rPr>
          <w:lang w:val="en-US"/>
        </w:rPr>
      </w:pPr>
      <w:r w:rsidRPr="003D0173">
        <w:rPr>
          <w:lang w:val="en-US"/>
        </w:rPr>
        <w:t>LB</w:t>
      </w:r>
      <w:r>
        <w:rPr>
          <w:lang w:val="en-US"/>
        </w:rPr>
        <w:tab/>
      </w:r>
      <w:r>
        <w:rPr>
          <w:lang w:val="en-US"/>
        </w:rPr>
        <w:tab/>
      </w:r>
      <w:r w:rsidRPr="003D0173">
        <w:rPr>
          <w:lang w:val="en-US"/>
        </w:rPr>
        <w:t>Lower Bound</w:t>
      </w:r>
    </w:p>
    <w:p w14:paraId="2AFE2728" w14:textId="617991C4" w:rsidR="003D0173" w:rsidRDefault="003D0173" w:rsidP="00BC298F">
      <w:pPr>
        <w:spacing w:before="0" w:after="0" w:line="276" w:lineRule="auto"/>
        <w:rPr>
          <w:lang w:val="en-US"/>
        </w:rPr>
      </w:pPr>
      <w:r w:rsidRPr="003D0173">
        <w:rPr>
          <w:lang w:val="en-US"/>
        </w:rPr>
        <w:t>LCA</w:t>
      </w:r>
      <w:r w:rsidR="00E117EF">
        <w:rPr>
          <w:lang w:val="en-US"/>
        </w:rPr>
        <w:tab/>
      </w:r>
      <w:r w:rsidR="00E117EF">
        <w:rPr>
          <w:lang w:val="en-US"/>
        </w:rPr>
        <w:tab/>
      </w:r>
      <w:r w:rsidRPr="003D0173">
        <w:rPr>
          <w:lang w:val="en-US"/>
        </w:rPr>
        <w:t>Life Cycle Analysis</w:t>
      </w:r>
    </w:p>
    <w:p w14:paraId="39D31232" w14:textId="625B7F8A" w:rsidR="00E117EF" w:rsidRPr="003D0173" w:rsidRDefault="00E117EF" w:rsidP="00BC298F">
      <w:pPr>
        <w:spacing w:before="0" w:after="0" w:line="276" w:lineRule="auto"/>
        <w:rPr>
          <w:lang w:val="en-US"/>
        </w:rPr>
      </w:pPr>
      <w:r>
        <w:rPr>
          <w:lang w:val="en-US"/>
        </w:rPr>
        <w:lastRenderedPageBreak/>
        <w:t>LCA</w:t>
      </w:r>
      <w:r>
        <w:rPr>
          <w:lang w:val="en-US"/>
        </w:rPr>
        <w:tab/>
      </w:r>
      <w:r>
        <w:rPr>
          <w:lang w:val="en-US"/>
        </w:rPr>
        <w:tab/>
        <w:t>Levelized Cost Analysis</w:t>
      </w:r>
    </w:p>
    <w:p w14:paraId="7330FF79" w14:textId="5B5C713A" w:rsidR="003D0173" w:rsidRPr="003D0173" w:rsidRDefault="003D0173" w:rsidP="00BC298F">
      <w:pPr>
        <w:spacing w:before="0" w:after="0" w:line="276" w:lineRule="auto"/>
        <w:rPr>
          <w:lang w:val="en-US"/>
        </w:rPr>
      </w:pPr>
      <w:r w:rsidRPr="003D0173">
        <w:rPr>
          <w:lang w:val="en-US"/>
        </w:rPr>
        <w:t>LCOE</w:t>
      </w:r>
      <w:r w:rsidR="00E117EF">
        <w:rPr>
          <w:lang w:val="en-US"/>
        </w:rPr>
        <w:tab/>
      </w:r>
      <w:r w:rsidR="00E117EF">
        <w:rPr>
          <w:lang w:val="en-US"/>
        </w:rPr>
        <w:tab/>
      </w:r>
      <w:r w:rsidRPr="003D0173">
        <w:rPr>
          <w:lang w:val="en-US"/>
        </w:rPr>
        <w:t>Levelized Cost of Electricity</w:t>
      </w:r>
    </w:p>
    <w:p w14:paraId="39C5ABE9" w14:textId="3F2359BA" w:rsidR="003D0173" w:rsidRPr="003D0173" w:rsidRDefault="003D0173" w:rsidP="00BC298F">
      <w:pPr>
        <w:spacing w:before="0" w:after="0" w:line="276" w:lineRule="auto"/>
        <w:rPr>
          <w:lang w:val="en-US"/>
        </w:rPr>
      </w:pPr>
      <w:r w:rsidRPr="003D0173">
        <w:rPr>
          <w:lang w:val="en-US"/>
        </w:rPr>
        <w:t>LCOF</w:t>
      </w:r>
      <w:r w:rsidR="00E117EF">
        <w:rPr>
          <w:lang w:val="en-US"/>
        </w:rPr>
        <w:tab/>
      </w:r>
      <w:r w:rsidR="00E117EF">
        <w:rPr>
          <w:lang w:val="en-US"/>
        </w:rPr>
        <w:tab/>
      </w:r>
      <w:r w:rsidRPr="003D0173">
        <w:rPr>
          <w:lang w:val="en-US"/>
        </w:rPr>
        <w:t>Levelized Cost of Fuel</w:t>
      </w:r>
    </w:p>
    <w:p w14:paraId="6F60D326" w14:textId="347D5D24" w:rsidR="003D0173" w:rsidRPr="003D0173" w:rsidRDefault="003D0173" w:rsidP="00BC298F">
      <w:pPr>
        <w:spacing w:before="0" w:after="0" w:line="276" w:lineRule="auto"/>
        <w:rPr>
          <w:lang w:val="en-US"/>
        </w:rPr>
      </w:pPr>
      <w:r w:rsidRPr="003D0173">
        <w:rPr>
          <w:lang w:val="en-US"/>
        </w:rPr>
        <w:t>LHV</w:t>
      </w:r>
      <w:r w:rsidR="00E117EF">
        <w:rPr>
          <w:lang w:val="en-US"/>
        </w:rPr>
        <w:tab/>
      </w:r>
      <w:r w:rsidR="00E117EF">
        <w:rPr>
          <w:lang w:val="en-US"/>
        </w:rPr>
        <w:tab/>
      </w:r>
      <w:r w:rsidRPr="003D0173">
        <w:rPr>
          <w:lang w:val="en-US"/>
        </w:rPr>
        <w:t>Lower Heating Value</w:t>
      </w:r>
    </w:p>
    <w:p w14:paraId="26A76309" w14:textId="77777777" w:rsidR="00E05E02" w:rsidRPr="003D0173" w:rsidRDefault="00E05E02" w:rsidP="00BC298F">
      <w:pPr>
        <w:spacing w:before="0" w:after="0" w:line="276" w:lineRule="auto"/>
        <w:rPr>
          <w:lang w:val="en-US"/>
        </w:rPr>
      </w:pPr>
      <w:r w:rsidRPr="003D0173">
        <w:rPr>
          <w:lang w:val="en-US"/>
        </w:rPr>
        <w:t>m³</w:t>
      </w:r>
      <w:r>
        <w:rPr>
          <w:lang w:val="en-US"/>
        </w:rPr>
        <w:tab/>
      </w:r>
      <w:r>
        <w:rPr>
          <w:lang w:val="en-US"/>
        </w:rPr>
        <w:tab/>
      </w:r>
      <w:r w:rsidRPr="003D0173">
        <w:rPr>
          <w:lang w:val="en-US"/>
        </w:rPr>
        <w:t>Cubic Meter</w:t>
      </w:r>
    </w:p>
    <w:p w14:paraId="709139E9" w14:textId="024CDCFA" w:rsidR="003D0173" w:rsidRPr="003D0173" w:rsidRDefault="003D0173" w:rsidP="00BC298F">
      <w:pPr>
        <w:spacing w:before="0" w:after="0" w:line="276" w:lineRule="auto"/>
        <w:rPr>
          <w:lang w:val="en-US"/>
        </w:rPr>
      </w:pPr>
      <w:r w:rsidRPr="003D0173">
        <w:rPr>
          <w:lang w:val="en-US"/>
        </w:rPr>
        <w:t>MJ</w:t>
      </w:r>
      <w:r w:rsidR="00E117EF">
        <w:rPr>
          <w:lang w:val="en-US"/>
        </w:rPr>
        <w:tab/>
      </w:r>
      <w:r w:rsidR="00E117EF">
        <w:rPr>
          <w:lang w:val="en-US"/>
        </w:rPr>
        <w:tab/>
      </w:r>
      <w:r w:rsidRPr="003D0173">
        <w:rPr>
          <w:lang w:val="en-US"/>
        </w:rPr>
        <w:t>Megajoule</w:t>
      </w:r>
    </w:p>
    <w:p w14:paraId="0E678912" w14:textId="4D9F841B" w:rsidR="003D0173" w:rsidRPr="003D0173" w:rsidRDefault="003D0173" w:rsidP="00BC298F">
      <w:pPr>
        <w:spacing w:before="0" w:after="0" w:line="276" w:lineRule="auto"/>
        <w:rPr>
          <w:lang w:val="en-US"/>
        </w:rPr>
      </w:pPr>
      <w:r w:rsidRPr="003D0173">
        <w:rPr>
          <w:lang w:val="en-US"/>
        </w:rPr>
        <w:t>MJSP</w:t>
      </w:r>
      <w:r w:rsidR="00E117EF">
        <w:rPr>
          <w:lang w:val="en-US"/>
        </w:rPr>
        <w:tab/>
      </w:r>
      <w:r w:rsidR="00E117EF">
        <w:rPr>
          <w:lang w:val="en-US"/>
        </w:rPr>
        <w:tab/>
      </w:r>
      <w:r w:rsidRPr="003D0173">
        <w:rPr>
          <w:lang w:val="en-US"/>
        </w:rPr>
        <w:t>Minimum Jet Fuel Selling Price</w:t>
      </w:r>
    </w:p>
    <w:p w14:paraId="350240E5" w14:textId="06FA2173" w:rsidR="003D0173" w:rsidRPr="003D0173" w:rsidRDefault="003D0173" w:rsidP="00BC298F">
      <w:pPr>
        <w:spacing w:before="0" w:after="0" w:line="276" w:lineRule="auto"/>
        <w:rPr>
          <w:lang w:val="en-US"/>
        </w:rPr>
      </w:pPr>
      <w:proofErr w:type="spellStart"/>
      <w:r w:rsidRPr="003D0173">
        <w:rPr>
          <w:lang w:val="en-US"/>
        </w:rPr>
        <w:t>M</w:t>
      </w:r>
      <w:r w:rsidR="00E117EF">
        <w:rPr>
          <w:lang w:val="en-US"/>
        </w:rPr>
        <w:t>O</w:t>
      </w:r>
      <w:r w:rsidRPr="003D0173">
        <w:rPr>
          <w:lang w:val="en-US"/>
        </w:rPr>
        <w:t>x</w:t>
      </w:r>
      <w:proofErr w:type="spellEnd"/>
      <w:r w:rsidR="00E117EF">
        <w:rPr>
          <w:lang w:val="en-US"/>
        </w:rPr>
        <w:tab/>
      </w:r>
      <w:r w:rsidR="00E117EF">
        <w:rPr>
          <w:lang w:val="en-US"/>
        </w:rPr>
        <w:tab/>
      </w:r>
      <w:r w:rsidRPr="003D0173">
        <w:rPr>
          <w:lang w:val="en-US"/>
        </w:rPr>
        <w:t>Metal Oxide</w:t>
      </w:r>
    </w:p>
    <w:p w14:paraId="02970F18" w14:textId="2F8E0440" w:rsidR="003D0173" w:rsidRPr="003D0173" w:rsidRDefault="003D0173" w:rsidP="00BC298F">
      <w:pPr>
        <w:spacing w:before="0" w:after="0" w:line="276" w:lineRule="auto"/>
        <w:rPr>
          <w:lang w:val="en-US"/>
        </w:rPr>
      </w:pPr>
      <w:r w:rsidRPr="003D0173">
        <w:rPr>
          <w:lang w:val="en-US"/>
        </w:rPr>
        <w:t>Mt</w:t>
      </w:r>
      <w:r w:rsidR="00E117EF">
        <w:rPr>
          <w:lang w:val="en-US"/>
        </w:rPr>
        <w:tab/>
      </w:r>
      <w:r w:rsidR="00E117EF">
        <w:rPr>
          <w:lang w:val="en-US"/>
        </w:rPr>
        <w:tab/>
      </w:r>
      <w:r w:rsidRPr="003D0173">
        <w:rPr>
          <w:lang w:val="en-US"/>
        </w:rPr>
        <w:t>Million Tons</w:t>
      </w:r>
    </w:p>
    <w:p w14:paraId="782AADE2" w14:textId="1391C0A2" w:rsidR="003D0173" w:rsidRPr="003D0173" w:rsidRDefault="003D0173" w:rsidP="00BC298F">
      <w:pPr>
        <w:spacing w:before="0" w:after="0" w:line="276" w:lineRule="auto"/>
        <w:rPr>
          <w:lang w:val="en-US"/>
        </w:rPr>
      </w:pPr>
      <w:r w:rsidRPr="003D0173">
        <w:rPr>
          <w:lang w:val="en-US"/>
        </w:rPr>
        <w:t>MTJ</w:t>
      </w:r>
      <w:r w:rsidR="00E117EF">
        <w:rPr>
          <w:lang w:val="en-US"/>
        </w:rPr>
        <w:tab/>
      </w:r>
      <w:r w:rsidR="00E117EF">
        <w:rPr>
          <w:lang w:val="en-US"/>
        </w:rPr>
        <w:tab/>
      </w:r>
      <w:r w:rsidRPr="003D0173">
        <w:rPr>
          <w:lang w:val="en-US"/>
        </w:rPr>
        <w:t>Methanol-to-Jet</w:t>
      </w:r>
    </w:p>
    <w:p w14:paraId="185DB0B7" w14:textId="3C7F5A2D" w:rsidR="003D0173" w:rsidRPr="003D0173" w:rsidRDefault="003D0173" w:rsidP="00BC298F">
      <w:pPr>
        <w:spacing w:before="0" w:after="0" w:line="276" w:lineRule="auto"/>
        <w:rPr>
          <w:lang w:val="en-US"/>
        </w:rPr>
      </w:pPr>
      <w:r w:rsidRPr="003D0173">
        <w:rPr>
          <w:lang w:val="en-US"/>
        </w:rPr>
        <w:t>MWh</w:t>
      </w:r>
      <w:r w:rsidR="00E117EF">
        <w:rPr>
          <w:lang w:val="en-US"/>
        </w:rPr>
        <w:tab/>
      </w:r>
      <w:r w:rsidR="00E117EF">
        <w:rPr>
          <w:lang w:val="en-US"/>
        </w:rPr>
        <w:tab/>
      </w:r>
      <w:r w:rsidRPr="003D0173">
        <w:rPr>
          <w:lang w:val="en-US"/>
        </w:rPr>
        <w:t>Megawatt-Hour</w:t>
      </w:r>
    </w:p>
    <w:p w14:paraId="5D511F64" w14:textId="00EEE69B" w:rsidR="003D0173" w:rsidRPr="003D0173" w:rsidRDefault="003D0173" w:rsidP="00BC298F">
      <w:pPr>
        <w:spacing w:before="0" w:after="0" w:line="276" w:lineRule="auto"/>
        <w:rPr>
          <w:lang w:val="en-US"/>
        </w:rPr>
      </w:pPr>
      <w:r w:rsidRPr="003D0173">
        <w:rPr>
          <w:lang w:val="en-US"/>
        </w:rPr>
        <w:t>NH₃</w:t>
      </w:r>
      <w:r w:rsidR="00E117EF">
        <w:rPr>
          <w:lang w:val="en-US"/>
        </w:rPr>
        <w:tab/>
      </w:r>
      <w:r w:rsidR="00E117EF">
        <w:rPr>
          <w:lang w:val="en-US"/>
        </w:rPr>
        <w:tab/>
      </w:r>
      <w:r w:rsidRPr="003D0173">
        <w:rPr>
          <w:lang w:val="en-US"/>
        </w:rPr>
        <w:t>Ammonia</w:t>
      </w:r>
    </w:p>
    <w:p w14:paraId="0C2E210A" w14:textId="66F2A1C5" w:rsidR="003D0173" w:rsidRPr="003D0173" w:rsidRDefault="003D0173" w:rsidP="00BC298F">
      <w:pPr>
        <w:spacing w:before="0" w:after="0" w:line="276" w:lineRule="auto"/>
        <w:rPr>
          <w:lang w:val="en-US"/>
        </w:rPr>
      </w:pPr>
      <w:r w:rsidRPr="003D0173">
        <w:rPr>
          <w:lang w:val="en-US"/>
        </w:rPr>
        <w:t>NPV</w:t>
      </w:r>
      <w:r w:rsidR="00E117EF">
        <w:rPr>
          <w:lang w:val="en-US"/>
        </w:rPr>
        <w:tab/>
      </w:r>
      <w:r w:rsidR="00E117EF">
        <w:rPr>
          <w:lang w:val="en-US"/>
        </w:rPr>
        <w:tab/>
      </w:r>
      <w:r w:rsidRPr="003D0173">
        <w:rPr>
          <w:lang w:val="en-US"/>
        </w:rPr>
        <w:t>Net Present Value</w:t>
      </w:r>
    </w:p>
    <w:p w14:paraId="60B62AB6" w14:textId="40609EB3" w:rsidR="003D0173" w:rsidRPr="003D0173" w:rsidRDefault="003D0173" w:rsidP="00BC298F">
      <w:pPr>
        <w:spacing w:before="0" w:after="0" w:line="276" w:lineRule="auto"/>
        <w:rPr>
          <w:lang w:val="en-US"/>
        </w:rPr>
      </w:pPr>
      <w:r w:rsidRPr="003D0173">
        <w:rPr>
          <w:lang w:val="en-US"/>
        </w:rPr>
        <w:t>OPEX</w:t>
      </w:r>
      <w:r w:rsidR="00E117EF">
        <w:rPr>
          <w:lang w:val="en-US"/>
        </w:rPr>
        <w:tab/>
      </w:r>
      <w:r w:rsidR="00E117EF">
        <w:rPr>
          <w:lang w:val="en-US"/>
        </w:rPr>
        <w:tab/>
      </w:r>
      <w:r w:rsidRPr="003D0173">
        <w:rPr>
          <w:lang w:val="en-US"/>
        </w:rPr>
        <w:t>Operating Expenditure</w:t>
      </w:r>
    </w:p>
    <w:p w14:paraId="337B36BB" w14:textId="6A754EF7" w:rsidR="003D0173" w:rsidRPr="003D0173" w:rsidRDefault="003D0173" w:rsidP="00BC298F">
      <w:pPr>
        <w:spacing w:before="0" w:after="0" w:line="276" w:lineRule="auto"/>
        <w:rPr>
          <w:lang w:val="en-US"/>
        </w:rPr>
      </w:pPr>
      <w:r w:rsidRPr="003D0173">
        <w:rPr>
          <w:lang w:val="en-US"/>
        </w:rPr>
        <w:t>PEM</w:t>
      </w:r>
      <w:r w:rsidR="00E117EF">
        <w:rPr>
          <w:lang w:val="en-US"/>
        </w:rPr>
        <w:t>/</w:t>
      </w:r>
      <w:r w:rsidRPr="003D0173">
        <w:rPr>
          <w:lang w:val="en-US"/>
        </w:rPr>
        <w:t>PEMEL</w:t>
      </w:r>
      <w:r w:rsidR="00E117EF">
        <w:rPr>
          <w:lang w:val="en-US"/>
        </w:rPr>
        <w:tab/>
      </w:r>
      <w:r w:rsidRPr="003D0173">
        <w:rPr>
          <w:lang w:val="en-US"/>
        </w:rPr>
        <w:t>Proton Exchange Membrane Electrolysis</w:t>
      </w:r>
    </w:p>
    <w:p w14:paraId="18EF7D8D" w14:textId="169C7ACD" w:rsidR="003D0173" w:rsidRPr="003D0173" w:rsidRDefault="003D0173" w:rsidP="00BC298F">
      <w:pPr>
        <w:spacing w:before="0" w:after="0" w:line="276" w:lineRule="auto"/>
        <w:rPr>
          <w:lang w:val="en-US"/>
        </w:rPr>
      </w:pPr>
      <w:r w:rsidRPr="003D0173">
        <w:rPr>
          <w:lang w:val="en-US"/>
        </w:rPr>
        <w:t>PMT</w:t>
      </w:r>
      <w:r w:rsidR="00E117EF">
        <w:rPr>
          <w:lang w:val="en-US"/>
        </w:rPr>
        <w:tab/>
      </w:r>
      <w:r w:rsidR="00E117EF">
        <w:rPr>
          <w:lang w:val="en-US"/>
        </w:rPr>
        <w:tab/>
      </w:r>
      <w:r w:rsidRPr="003D0173">
        <w:rPr>
          <w:lang w:val="en-US"/>
        </w:rPr>
        <w:t>Payment (Excel Function for Calculating Loan Payments)</w:t>
      </w:r>
    </w:p>
    <w:p w14:paraId="36B046FE" w14:textId="436C8AD0" w:rsidR="003D0173" w:rsidRPr="003D0173" w:rsidRDefault="00E117EF" w:rsidP="00BC298F">
      <w:pPr>
        <w:spacing w:before="0" w:after="0" w:line="276" w:lineRule="auto"/>
        <w:rPr>
          <w:lang w:val="en-US"/>
        </w:rPr>
      </w:pPr>
      <w:r w:rsidRPr="003D0173">
        <w:rPr>
          <w:lang w:val="en-US"/>
        </w:rPr>
        <w:t>P</w:t>
      </w:r>
      <w:r w:rsidR="003D0173" w:rsidRPr="003D0173">
        <w:rPr>
          <w:lang w:val="en-US"/>
        </w:rPr>
        <w:t>pm</w:t>
      </w:r>
      <w:r>
        <w:rPr>
          <w:lang w:val="en-US"/>
        </w:rPr>
        <w:tab/>
      </w:r>
      <w:r>
        <w:rPr>
          <w:lang w:val="en-US"/>
        </w:rPr>
        <w:tab/>
      </w:r>
      <w:r w:rsidR="003D0173" w:rsidRPr="003D0173">
        <w:rPr>
          <w:lang w:val="en-US"/>
        </w:rPr>
        <w:t>Parts per Million</w:t>
      </w:r>
    </w:p>
    <w:p w14:paraId="23A03DAA" w14:textId="7CB4EEC6" w:rsidR="003D0173" w:rsidRPr="003D0173" w:rsidRDefault="003D0173" w:rsidP="00BC298F">
      <w:pPr>
        <w:spacing w:before="0" w:after="0" w:line="276" w:lineRule="auto"/>
        <w:rPr>
          <w:lang w:val="en-US"/>
        </w:rPr>
      </w:pPr>
      <w:proofErr w:type="spellStart"/>
      <w:r w:rsidRPr="003D0173">
        <w:rPr>
          <w:lang w:val="en-US"/>
        </w:rPr>
        <w:t>PtL</w:t>
      </w:r>
      <w:proofErr w:type="spellEnd"/>
      <w:r w:rsidR="00E117EF">
        <w:rPr>
          <w:lang w:val="en-US"/>
        </w:rPr>
        <w:tab/>
      </w:r>
      <w:r w:rsidR="00E117EF">
        <w:rPr>
          <w:lang w:val="en-US"/>
        </w:rPr>
        <w:tab/>
      </w:r>
      <w:r w:rsidRPr="003D0173">
        <w:rPr>
          <w:lang w:val="en-US"/>
        </w:rPr>
        <w:t>Power-to-Liquid</w:t>
      </w:r>
    </w:p>
    <w:p w14:paraId="556A6FDC" w14:textId="45FDDD24" w:rsidR="003D0173" w:rsidRPr="003D0173" w:rsidRDefault="003D0173" w:rsidP="00BC298F">
      <w:pPr>
        <w:spacing w:before="0" w:after="0" w:line="276" w:lineRule="auto"/>
        <w:rPr>
          <w:lang w:val="en-US"/>
        </w:rPr>
      </w:pPr>
      <w:r w:rsidRPr="003D0173">
        <w:rPr>
          <w:lang w:val="en-US"/>
        </w:rPr>
        <w:t>PV</w:t>
      </w:r>
      <w:r w:rsidR="00E117EF">
        <w:rPr>
          <w:lang w:val="en-US"/>
        </w:rPr>
        <w:tab/>
      </w:r>
      <w:r w:rsidR="00E117EF">
        <w:rPr>
          <w:lang w:val="en-US"/>
        </w:rPr>
        <w:tab/>
      </w:r>
      <w:r w:rsidRPr="003D0173">
        <w:rPr>
          <w:lang w:val="en-US"/>
        </w:rPr>
        <w:t>Photovoltaic</w:t>
      </w:r>
    </w:p>
    <w:p w14:paraId="6F52213D" w14:textId="70EB2F0A" w:rsidR="003D0173" w:rsidRPr="003D0173" w:rsidRDefault="003D0173" w:rsidP="00BC298F">
      <w:pPr>
        <w:spacing w:before="0" w:after="0" w:line="276" w:lineRule="auto"/>
        <w:rPr>
          <w:lang w:val="en-US"/>
        </w:rPr>
      </w:pPr>
      <w:r w:rsidRPr="003D0173">
        <w:rPr>
          <w:lang w:val="en-US"/>
        </w:rPr>
        <w:t>RED</w:t>
      </w:r>
      <w:r w:rsidR="00E117EF">
        <w:rPr>
          <w:lang w:val="en-US"/>
        </w:rPr>
        <w:tab/>
      </w:r>
      <w:r w:rsidR="00E117EF">
        <w:rPr>
          <w:lang w:val="en-US"/>
        </w:rPr>
        <w:tab/>
      </w:r>
      <w:r w:rsidRPr="003D0173">
        <w:rPr>
          <w:lang w:val="en-US"/>
        </w:rPr>
        <w:t>Renewable Energy Directive</w:t>
      </w:r>
    </w:p>
    <w:p w14:paraId="3CD20497" w14:textId="1BB42486" w:rsidR="003D0173" w:rsidRPr="003D0173" w:rsidRDefault="003D0173" w:rsidP="00BC298F">
      <w:pPr>
        <w:spacing w:before="0" w:after="0" w:line="276" w:lineRule="auto"/>
        <w:rPr>
          <w:lang w:val="en-US"/>
        </w:rPr>
      </w:pPr>
      <w:r w:rsidRPr="003D0173">
        <w:rPr>
          <w:lang w:val="en-US"/>
        </w:rPr>
        <w:t>RES</w:t>
      </w:r>
      <w:r w:rsidR="00E117EF">
        <w:rPr>
          <w:lang w:val="en-US"/>
        </w:rPr>
        <w:tab/>
      </w:r>
      <w:r w:rsidR="00E117EF">
        <w:rPr>
          <w:lang w:val="en-US"/>
        </w:rPr>
        <w:tab/>
      </w:r>
      <w:r w:rsidRPr="003D0173">
        <w:rPr>
          <w:lang w:val="en-US"/>
        </w:rPr>
        <w:t>Renewable Energy Sources</w:t>
      </w:r>
    </w:p>
    <w:p w14:paraId="6006F031" w14:textId="22564488" w:rsidR="003D0173" w:rsidRPr="003D0173" w:rsidRDefault="003D0173" w:rsidP="00BC298F">
      <w:pPr>
        <w:spacing w:before="0" w:after="0" w:line="276" w:lineRule="auto"/>
        <w:rPr>
          <w:lang w:val="en-US"/>
        </w:rPr>
      </w:pPr>
      <w:r w:rsidRPr="003D0173">
        <w:rPr>
          <w:lang w:val="en-US"/>
        </w:rPr>
        <w:t>RFNBO</w:t>
      </w:r>
      <w:r w:rsidR="00E117EF">
        <w:rPr>
          <w:lang w:val="en-US"/>
        </w:rPr>
        <w:tab/>
      </w:r>
      <w:r w:rsidR="00E117EF">
        <w:rPr>
          <w:lang w:val="en-US"/>
        </w:rPr>
        <w:tab/>
      </w:r>
      <w:r w:rsidRPr="003D0173">
        <w:rPr>
          <w:lang w:val="en-US"/>
        </w:rPr>
        <w:t>Renewable Fuel of Non-Biological Origin</w:t>
      </w:r>
    </w:p>
    <w:p w14:paraId="053971C1" w14:textId="175C6F8B" w:rsidR="003D0173" w:rsidRPr="003D0173" w:rsidRDefault="003D0173" w:rsidP="00BC298F">
      <w:pPr>
        <w:spacing w:before="0" w:after="0" w:line="276" w:lineRule="auto"/>
        <w:rPr>
          <w:lang w:val="en-US"/>
        </w:rPr>
      </w:pPr>
      <w:r w:rsidRPr="003D0173">
        <w:rPr>
          <w:lang w:val="en-US"/>
        </w:rPr>
        <w:t>RSB</w:t>
      </w:r>
      <w:r w:rsidR="00E117EF">
        <w:rPr>
          <w:lang w:val="en-US"/>
        </w:rPr>
        <w:tab/>
      </w:r>
      <w:r w:rsidR="00E117EF">
        <w:rPr>
          <w:lang w:val="en-US"/>
        </w:rPr>
        <w:tab/>
      </w:r>
      <w:r w:rsidRPr="003D0173">
        <w:rPr>
          <w:lang w:val="en-US"/>
        </w:rPr>
        <w:t>Roundtable on Sustainable Biomaterials</w:t>
      </w:r>
    </w:p>
    <w:p w14:paraId="07CDA673" w14:textId="20978983" w:rsidR="003D0173" w:rsidRPr="003D0173" w:rsidRDefault="003D0173" w:rsidP="00BC298F">
      <w:pPr>
        <w:spacing w:before="0" w:after="0" w:line="276" w:lineRule="auto"/>
        <w:rPr>
          <w:lang w:val="en-US"/>
        </w:rPr>
      </w:pPr>
      <w:r w:rsidRPr="003D0173">
        <w:rPr>
          <w:lang w:val="en-US"/>
        </w:rPr>
        <w:t>RWGS</w:t>
      </w:r>
      <w:r w:rsidR="00E117EF">
        <w:rPr>
          <w:lang w:val="en-US"/>
        </w:rPr>
        <w:tab/>
      </w:r>
      <w:r w:rsidR="00E117EF">
        <w:rPr>
          <w:lang w:val="en-US"/>
        </w:rPr>
        <w:tab/>
      </w:r>
      <w:r w:rsidRPr="003D0173">
        <w:rPr>
          <w:lang w:val="en-US"/>
        </w:rPr>
        <w:t>Reverse Water-Gas Shift</w:t>
      </w:r>
    </w:p>
    <w:p w14:paraId="77773921" w14:textId="15E9E9ED" w:rsidR="003D0173" w:rsidRPr="003D0173" w:rsidRDefault="003D0173" w:rsidP="00BC298F">
      <w:pPr>
        <w:spacing w:before="0" w:after="0" w:line="276" w:lineRule="auto"/>
        <w:rPr>
          <w:lang w:val="en-US"/>
        </w:rPr>
      </w:pPr>
      <w:r w:rsidRPr="003D0173">
        <w:rPr>
          <w:lang w:val="en-US"/>
        </w:rPr>
        <w:t>SAF</w:t>
      </w:r>
      <w:r w:rsidR="00E117EF">
        <w:rPr>
          <w:lang w:val="en-US"/>
        </w:rPr>
        <w:tab/>
      </w:r>
      <w:r w:rsidR="00E117EF">
        <w:rPr>
          <w:lang w:val="en-US"/>
        </w:rPr>
        <w:tab/>
      </w:r>
      <w:r w:rsidRPr="003D0173">
        <w:rPr>
          <w:lang w:val="en-US"/>
        </w:rPr>
        <w:t>Sustainable Aviation Fuels</w:t>
      </w:r>
    </w:p>
    <w:p w14:paraId="33D79F66" w14:textId="5279FD1F" w:rsidR="003D0173" w:rsidRPr="003D0173" w:rsidRDefault="003D0173" w:rsidP="00BC298F">
      <w:pPr>
        <w:spacing w:before="0" w:after="0" w:line="276" w:lineRule="auto"/>
        <w:rPr>
          <w:lang w:val="en-US"/>
        </w:rPr>
      </w:pPr>
      <w:r w:rsidRPr="003D0173">
        <w:rPr>
          <w:lang w:val="en-US"/>
        </w:rPr>
        <w:t>SA</w:t>
      </w:r>
      <w:r w:rsidR="00E117EF">
        <w:rPr>
          <w:lang w:val="en-US"/>
        </w:rPr>
        <w:tab/>
      </w:r>
      <w:r w:rsidR="00E117EF">
        <w:rPr>
          <w:lang w:val="en-US"/>
        </w:rPr>
        <w:tab/>
      </w:r>
      <w:r w:rsidRPr="003D0173">
        <w:rPr>
          <w:lang w:val="en-US"/>
        </w:rPr>
        <w:t>Sensitivity Analysis</w:t>
      </w:r>
    </w:p>
    <w:p w14:paraId="720AE1FF" w14:textId="5D844B87" w:rsidR="003D0173" w:rsidRPr="003D0173" w:rsidRDefault="003D0173" w:rsidP="00BC298F">
      <w:pPr>
        <w:spacing w:before="0" w:after="0" w:line="276" w:lineRule="auto"/>
        <w:rPr>
          <w:lang w:val="en-US"/>
        </w:rPr>
      </w:pPr>
      <w:r w:rsidRPr="003D0173">
        <w:rPr>
          <w:lang w:val="en-US"/>
        </w:rPr>
        <w:t>SIP</w:t>
      </w:r>
      <w:r w:rsidR="00E117EF">
        <w:rPr>
          <w:lang w:val="en-US"/>
        </w:rPr>
        <w:tab/>
      </w:r>
      <w:r w:rsidR="00E117EF">
        <w:rPr>
          <w:lang w:val="en-US"/>
        </w:rPr>
        <w:tab/>
      </w:r>
      <w:r w:rsidRPr="003D0173">
        <w:rPr>
          <w:lang w:val="en-US"/>
        </w:rPr>
        <w:t xml:space="preserve">Synthesized </w:t>
      </w:r>
      <w:proofErr w:type="spellStart"/>
      <w:r w:rsidRPr="003D0173">
        <w:rPr>
          <w:lang w:val="en-US"/>
        </w:rPr>
        <w:t>Isoparaffins</w:t>
      </w:r>
      <w:proofErr w:type="spellEnd"/>
    </w:p>
    <w:p w14:paraId="268CDA97" w14:textId="50032DDD" w:rsidR="003D0173" w:rsidRPr="003D0173" w:rsidRDefault="003D0173" w:rsidP="00BC298F">
      <w:pPr>
        <w:spacing w:before="0" w:after="0" w:line="276" w:lineRule="auto"/>
        <w:rPr>
          <w:lang w:val="en-US"/>
        </w:rPr>
      </w:pPr>
      <w:r w:rsidRPr="003D0173">
        <w:rPr>
          <w:lang w:val="en-US"/>
        </w:rPr>
        <w:t>SOE</w:t>
      </w:r>
      <w:r w:rsidR="00E117EF">
        <w:rPr>
          <w:lang w:val="en-US"/>
        </w:rPr>
        <w:tab/>
      </w:r>
      <w:r w:rsidR="00E117EF">
        <w:rPr>
          <w:lang w:val="en-US"/>
        </w:rPr>
        <w:tab/>
      </w:r>
      <w:r w:rsidRPr="003D0173">
        <w:rPr>
          <w:lang w:val="en-US"/>
        </w:rPr>
        <w:t>Solid Oxide Electrolysis</w:t>
      </w:r>
    </w:p>
    <w:p w14:paraId="04AA9C5D" w14:textId="53FAEFAF" w:rsidR="003D0173" w:rsidRPr="003D0173" w:rsidRDefault="003D0173" w:rsidP="00BC298F">
      <w:pPr>
        <w:spacing w:before="0" w:after="0" w:line="276" w:lineRule="auto"/>
        <w:rPr>
          <w:lang w:val="en-US"/>
        </w:rPr>
      </w:pPr>
      <w:r w:rsidRPr="003D0173">
        <w:rPr>
          <w:lang w:val="en-US"/>
        </w:rPr>
        <w:t>TRL</w:t>
      </w:r>
      <w:r w:rsidR="00E117EF">
        <w:rPr>
          <w:lang w:val="en-US"/>
        </w:rPr>
        <w:tab/>
      </w:r>
      <w:r w:rsidR="00E117EF">
        <w:rPr>
          <w:lang w:val="en-US"/>
        </w:rPr>
        <w:tab/>
      </w:r>
      <w:r w:rsidRPr="003D0173">
        <w:rPr>
          <w:lang w:val="en-US"/>
        </w:rPr>
        <w:t>Technology Readiness Level</w:t>
      </w:r>
    </w:p>
    <w:p w14:paraId="203D5688" w14:textId="45C404C7" w:rsidR="003D0173" w:rsidRPr="003D0173" w:rsidRDefault="003D0173" w:rsidP="00BC298F">
      <w:pPr>
        <w:spacing w:before="0" w:after="0" w:line="276" w:lineRule="auto"/>
        <w:rPr>
          <w:lang w:val="en-US"/>
        </w:rPr>
      </w:pPr>
      <w:r w:rsidRPr="003D0173">
        <w:rPr>
          <w:lang w:val="en-US"/>
        </w:rPr>
        <w:t>TSO</w:t>
      </w:r>
      <w:r w:rsidR="00E117EF">
        <w:rPr>
          <w:lang w:val="en-US"/>
        </w:rPr>
        <w:tab/>
      </w:r>
      <w:r w:rsidR="00E117EF">
        <w:rPr>
          <w:lang w:val="en-US"/>
        </w:rPr>
        <w:tab/>
      </w:r>
      <w:r w:rsidRPr="003D0173">
        <w:rPr>
          <w:lang w:val="en-US"/>
        </w:rPr>
        <w:t>Transmission System Operator</w:t>
      </w:r>
    </w:p>
    <w:p w14:paraId="6C2D6277" w14:textId="79736115" w:rsidR="003D0173" w:rsidRPr="003D0173" w:rsidRDefault="003D0173" w:rsidP="00BC298F">
      <w:pPr>
        <w:spacing w:before="0" w:after="0" w:line="276" w:lineRule="auto"/>
        <w:rPr>
          <w:lang w:val="en-US"/>
        </w:rPr>
      </w:pPr>
      <w:r w:rsidRPr="003D0173">
        <w:rPr>
          <w:lang w:val="en-US"/>
        </w:rPr>
        <w:t>UB</w:t>
      </w:r>
      <w:r w:rsidR="00E117EF">
        <w:rPr>
          <w:lang w:val="en-US"/>
        </w:rPr>
        <w:tab/>
      </w:r>
      <w:r w:rsidR="00E117EF">
        <w:rPr>
          <w:lang w:val="en-US"/>
        </w:rPr>
        <w:tab/>
      </w:r>
      <w:r w:rsidRPr="003D0173">
        <w:rPr>
          <w:lang w:val="en-US"/>
        </w:rPr>
        <w:t>Upper Bound</w:t>
      </w:r>
    </w:p>
    <w:p w14:paraId="156F8394" w14:textId="166200BE" w:rsidR="003D0173" w:rsidRPr="003D0173" w:rsidRDefault="003D0173" w:rsidP="00BC298F">
      <w:pPr>
        <w:spacing w:before="0" w:after="0" w:line="276" w:lineRule="auto"/>
        <w:rPr>
          <w:lang w:val="en-US"/>
        </w:rPr>
      </w:pPr>
      <w:r w:rsidRPr="003D0173">
        <w:rPr>
          <w:lang w:val="en-US"/>
        </w:rPr>
        <w:t>UN</w:t>
      </w:r>
      <w:r w:rsidR="00E117EF">
        <w:rPr>
          <w:lang w:val="en-US"/>
        </w:rPr>
        <w:tab/>
      </w:r>
      <w:r w:rsidR="00E117EF">
        <w:rPr>
          <w:lang w:val="en-US"/>
        </w:rPr>
        <w:tab/>
      </w:r>
      <w:r w:rsidRPr="003D0173">
        <w:rPr>
          <w:lang w:val="en-US"/>
        </w:rPr>
        <w:t>United Nations</w:t>
      </w:r>
    </w:p>
    <w:p w14:paraId="72179430" w14:textId="2AEF49C0" w:rsidR="003D0173" w:rsidRPr="003D0173" w:rsidRDefault="003D0173" w:rsidP="00BC298F">
      <w:pPr>
        <w:spacing w:before="0" w:after="0" w:line="276" w:lineRule="auto"/>
        <w:rPr>
          <w:lang w:val="en-US"/>
        </w:rPr>
      </w:pPr>
      <w:r w:rsidRPr="003D0173">
        <w:rPr>
          <w:lang w:val="en-US"/>
        </w:rPr>
        <w:t>UNFCCC</w:t>
      </w:r>
      <w:r w:rsidR="00E117EF">
        <w:rPr>
          <w:lang w:val="en-US"/>
        </w:rPr>
        <w:tab/>
      </w:r>
      <w:r w:rsidRPr="003D0173">
        <w:rPr>
          <w:lang w:val="en-US"/>
        </w:rPr>
        <w:t>United Nations Framework Convention on Climate Change</w:t>
      </w:r>
    </w:p>
    <w:p w14:paraId="0D9CE3F6" w14:textId="38ED250A" w:rsidR="003D0173" w:rsidRPr="003D0173" w:rsidRDefault="003D0173" w:rsidP="00BC298F">
      <w:pPr>
        <w:spacing w:before="0" w:after="0" w:line="276" w:lineRule="auto"/>
        <w:rPr>
          <w:lang w:val="en-US"/>
        </w:rPr>
      </w:pPr>
      <w:r w:rsidRPr="003D0173">
        <w:rPr>
          <w:lang w:val="en-US"/>
        </w:rPr>
        <w:t>VC</w:t>
      </w:r>
      <w:r w:rsidR="00E117EF">
        <w:rPr>
          <w:lang w:val="en-US"/>
        </w:rPr>
        <w:tab/>
      </w:r>
      <w:r w:rsidR="00E117EF">
        <w:rPr>
          <w:lang w:val="en-US"/>
        </w:rPr>
        <w:tab/>
      </w:r>
      <w:r w:rsidRPr="003D0173">
        <w:rPr>
          <w:lang w:val="en-US"/>
        </w:rPr>
        <w:t>Venture Capital</w:t>
      </w:r>
    </w:p>
    <w:p w14:paraId="56E204D8" w14:textId="0E169400" w:rsidR="003D0173" w:rsidRPr="003D0173" w:rsidRDefault="003D0173" w:rsidP="00BC298F">
      <w:pPr>
        <w:spacing w:before="0" w:after="0" w:line="276" w:lineRule="auto"/>
        <w:rPr>
          <w:lang w:val="en-US"/>
        </w:rPr>
      </w:pPr>
      <w:r w:rsidRPr="003D0173">
        <w:rPr>
          <w:lang w:val="en-US"/>
        </w:rPr>
        <w:t>WACC</w:t>
      </w:r>
      <w:r w:rsidR="00E117EF">
        <w:rPr>
          <w:lang w:val="en-US"/>
        </w:rPr>
        <w:tab/>
      </w:r>
      <w:r w:rsidR="00E117EF">
        <w:rPr>
          <w:lang w:val="en-US"/>
        </w:rPr>
        <w:tab/>
      </w:r>
      <w:r w:rsidRPr="003D0173">
        <w:rPr>
          <w:lang w:val="en-US"/>
        </w:rPr>
        <w:t>Weighted Average Cost of Capital</w:t>
      </w:r>
    </w:p>
    <w:p w14:paraId="37E0C050" w14:textId="2BA604C2" w:rsidR="003D0173" w:rsidRDefault="003D0173" w:rsidP="00BC298F">
      <w:pPr>
        <w:spacing w:before="0" w:after="0" w:line="276" w:lineRule="auto"/>
        <w:rPr>
          <w:lang w:val="en-US"/>
        </w:rPr>
      </w:pPr>
      <w:r w:rsidRPr="003D0173">
        <w:rPr>
          <w:lang w:val="en-US"/>
        </w:rPr>
        <w:t>WWF</w:t>
      </w:r>
      <w:r w:rsidR="00E117EF">
        <w:rPr>
          <w:lang w:val="en-US"/>
        </w:rPr>
        <w:tab/>
      </w:r>
      <w:r w:rsidR="00E117EF">
        <w:rPr>
          <w:lang w:val="en-US"/>
        </w:rPr>
        <w:tab/>
      </w:r>
      <w:r w:rsidRPr="003D0173">
        <w:rPr>
          <w:lang w:val="en-US"/>
        </w:rPr>
        <w:t>World Wildlife Fund</w:t>
      </w:r>
    </w:p>
    <w:p w14:paraId="58A18139" w14:textId="46E749DD" w:rsidR="00A7177F" w:rsidRPr="003D0173" w:rsidRDefault="00A7177F" w:rsidP="00BC298F">
      <w:pPr>
        <w:spacing w:before="0" w:after="0" w:line="276" w:lineRule="auto"/>
        <w:rPr>
          <w:lang w:val="en-US"/>
        </w:rPr>
      </w:pPr>
      <w:r w:rsidRPr="003D0173">
        <w:rPr>
          <w:lang w:val="en-US"/>
        </w:rPr>
        <w:t>€</w:t>
      </w:r>
      <w:r>
        <w:rPr>
          <w:lang w:val="en-US"/>
        </w:rPr>
        <w:tab/>
      </w:r>
      <w:r>
        <w:rPr>
          <w:lang w:val="en-US"/>
        </w:rPr>
        <w:tab/>
      </w:r>
      <w:r w:rsidRPr="003D0173">
        <w:rPr>
          <w:lang w:val="en-US"/>
        </w:rPr>
        <w:t>Euro (Currency)</w:t>
      </w:r>
    </w:p>
    <w:p w14:paraId="443EA1D7" w14:textId="2704DB22" w:rsidR="003D0173" w:rsidRPr="003D0173" w:rsidRDefault="003D0173" w:rsidP="00BC298F">
      <w:pPr>
        <w:spacing w:before="0" w:after="0" w:line="276" w:lineRule="auto"/>
        <w:rPr>
          <w:lang w:val="en-US"/>
        </w:rPr>
      </w:pPr>
      <w:r w:rsidRPr="003D0173">
        <w:rPr>
          <w:lang w:val="en-US"/>
        </w:rPr>
        <w:t>∆h⁰</w:t>
      </w:r>
      <w:r w:rsidR="00E117EF">
        <w:rPr>
          <w:lang w:val="en-US"/>
        </w:rPr>
        <w:tab/>
      </w:r>
      <w:r w:rsidR="00E117EF">
        <w:rPr>
          <w:lang w:val="en-US"/>
        </w:rPr>
        <w:tab/>
      </w:r>
      <w:r w:rsidRPr="003D0173">
        <w:rPr>
          <w:lang w:val="en-US"/>
        </w:rPr>
        <w:t>Standard Enthalpy Change</w:t>
      </w:r>
    </w:p>
    <w:p w14:paraId="31D39AB6" w14:textId="17620A24" w:rsidR="003D0173" w:rsidRPr="003D0173" w:rsidRDefault="003D0173" w:rsidP="00BC298F">
      <w:pPr>
        <w:spacing w:before="0" w:after="0" w:line="276" w:lineRule="auto"/>
        <w:rPr>
          <w:lang w:val="en-US"/>
        </w:rPr>
      </w:pPr>
      <w:r w:rsidRPr="003D0173">
        <w:rPr>
          <w:lang w:val="en-US"/>
        </w:rPr>
        <w:t xml:space="preserve">∑ </w:t>
      </w:r>
      <w:r w:rsidR="00E117EF">
        <w:rPr>
          <w:lang w:val="en-US"/>
        </w:rPr>
        <w:tab/>
      </w:r>
      <w:r w:rsidR="00E117EF">
        <w:rPr>
          <w:lang w:val="en-US"/>
        </w:rPr>
        <w:tab/>
      </w:r>
      <w:r w:rsidRPr="003D0173">
        <w:rPr>
          <w:lang w:val="en-US"/>
        </w:rPr>
        <w:t>Summation (Mathematical Symbol)</w:t>
      </w:r>
    </w:p>
    <w:p w14:paraId="7303135B" w14:textId="15866045" w:rsidR="00175F65" w:rsidRDefault="003D0173" w:rsidP="00BC298F">
      <w:pPr>
        <w:spacing w:before="0" w:after="0" w:line="276" w:lineRule="auto"/>
        <w:rPr>
          <w:lang w:val="en-US"/>
        </w:rPr>
      </w:pPr>
      <w:r w:rsidRPr="003D0173">
        <w:rPr>
          <w:lang w:val="en-US"/>
        </w:rPr>
        <w:t>%</w:t>
      </w:r>
      <w:r w:rsidR="00E117EF">
        <w:rPr>
          <w:lang w:val="en-US"/>
        </w:rPr>
        <w:tab/>
      </w:r>
      <w:r w:rsidR="00E117EF">
        <w:rPr>
          <w:lang w:val="en-US"/>
        </w:rPr>
        <w:tab/>
      </w:r>
      <w:r w:rsidRPr="003D0173">
        <w:rPr>
          <w:lang w:val="en-US"/>
        </w:rPr>
        <w:t xml:space="preserve">Percentage </w:t>
      </w:r>
      <w:r w:rsidR="00175F65">
        <w:rPr>
          <w:lang w:val="en-US"/>
        </w:rPr>
        <w:br w:type="page"/>
      </w:r>
    </w:p>
    <w:p w14:paraId="503D5151" w14:textId="13DF27B5" w:rsidR="00392D36" w:rsidRPr="00670221" w:rsidRDefault="00392D36" w:rsidP="00392D36">
      <w:pPr>
        <w:jc w:val="right"/>
        <w:rPr>
          <w:rFonts w:asciiTheme="majorHAnsi" w:hAnsiTheme="majorHAnsi" w:cstheme="majorHAnsi"/>
          <w:sz w:val="96"/>
          <w:szCs w:val="96"/>
          <w:lang w:val="en-US"/>
        </w:rPr>
      </w:pPr>
      <w:r w:rsidRPr="00670221">
        <w:rPr>
          <w:rFonts w:asciiTheme="majorHAnsi" w:hAnsiTheme="majorHAnsi" w:cstheme="majorHAnsi"/>
          <w:sz w:val="96"/>
          <w:szCs w:val="96"/>
          <w:lang w:val="en-US"/>
        </w:rPr>
        <w:lastRenderedPageBreak/>
        <w:t>List of Figures</w:t>
      </w:r>
    </w:p>
    <w:p w14:paraId="1F937335" w14:textId="37AE83AF" w:rsidR="008A2576" w:rsidRDefault="00392D36">
      <w:pPr>
        <w:pStyle w:val="TableofFigures"/>
        <w:tabs>
          <w:tab w:val="right" w:leader="dot" w:pos="9016"/>
        </w:tabs>
        <w:rPr>
          <w:rFonts w:eastAsiaTheme="minorEastAsia"/>
          <w:noProof/>
          <w:lang w:eastAsia="en-GB"/>
        </w:rPr>
      </w:pPr>
      <w:r w:rsidRPr="00670221">
        <w:rPr>
          <w:lang w:val="en-US"/>
        </w:rPr>
        <w:fldChar w:fldCharType="begin"/>
      </w:r>
      <w:r w:rsidRPr="00670221">
        <w:rPr>
          <w:lang w:val="en-US"/>
        </w:rPr>
        <w:instrText xml:space="preserve"> TOC \h \z \c "Figure" </w:instrText>
      </w:r>
      <w:r w:rsidRPr="00670221">
        <w:rPr>
          <w:lang w:val="en-US"/>
        </w:rPr>
        <w:fldChar w:fldCharType="separate"/>
      </w:r>
      <w:hyperlink w:anchor="_Toc184403538" w:history="1">
        <w:r w:rsidR="008A2576" w:rsidRPr="00E23C93">
          <w:rPr>
            <w:rStyle w:val="Hyperlink"/>
            <w:noProof/>
            <w:lang w:val="en-US"/>
          </w:rPr>
          <w:t>Figure 1.1: Overview of CDR methods (Carbon Gap, n.d.)</w:t>
        </w:r>
        <w:r w:rsidR="008A2576">
          <w:rPr>
            <w:noProof/>
            <w:webHidden/>
          </w:rPr>
          <w:tab/>
        </w:r>
        <w:r w:rsidR="008A2576">
          <w:rPr>
            <w:noProof/>
            <w:webHidden/>
          </w:rPr>
          <w:fldChar w:fldCharType="begin"/>
        </w:r>
        <w:r w:rsidR="008A2576">
          <w:rPr>
            <w:noProof/>
            <w:webHidden/>
          </w:rPr>
          <w:instrText xml:space="preserve"> PAGEREF _Toc184403538 \h </w:instrText>
        </w:r>
        <w:r w:rsidR="008A2576">
          <w:rPr>
            <w:noProof/>
            <w:webHidden/>
          </w:rPr>
        </w:r>
        <w:r w:rsidR="008A2576">
          <w:rPr>
            <w:noProof/>
            <w:webHidden/>
          </w:rPr>
          <w:fldChar w:fldCharType="separate"/>
        </w:r>
        <w:r w:rsidR="008A2576">
          <w:rPr>
            <w:noProof/>
            <w:webHidden/>
          </w:rPr>
          <w:t>1</w:t>
        </w:r>
        <w:r w:rsidR="008A2576">
          <w:rPr>
            <w:noProof/>
            <w:webHidden/>
          </w:rPr>
          <w:fldChar w:fldCharType="end"/>
        </w:r>
      </w:hyperlink>
    </w:p>
    <w:p w14:paraId="76B771F2" w14:textId="42044F5F" w:rsidR="008A2576" w:rsidRDefault="008A2576">
      <w:pPr>
        <w:pStyle w:val="TableofFigures"/>
        <w:tabs>
          <w:tab w:val="right" w:leader="dot" w:pos="9016"/>
        </w:tabs>
        <w:rPr>
          <w:rFonts w:eastAsiaTheme="minorEastAsia"/>
          <w:noProof/>
          <w:lang w:eastAsia="en-GB"/>
        </w:rPr>
      </w:pPr>
      <w:hyperlink w:anchor="_Toc184403539" w:history="1">
        <w:r w:rsidRPr="00E23C93">
          <w:rPr>
            <w:rStyle w:val="Hyperlink"/>
            <w:noProof/>
            <w:lang w:val="en-US"/>
          </w:rPr>
          <w:t>Figure 1.2 Sustainable Aviation Fuel Overview (Su-Ungkavatin et al., 2023)</w:t>
        </w:r>
        <w:r>
          <w:rPr>
            <w:noProof/>
            <w:webHidden/>
          </w:rPr>
          <w:tab/>
        </w:r>
        <w:r>
          <w:rPr>
            <w:noProof/>
            <w:webHidden/>
          </w:rPr>
          <w:fldChar w:fldCharType="begin"/>
        </w:r>
        <w:r>
          <w:rPr>
            <w:noProof/>
            <w:webHidden/>
          </w:rPr>
          <w:instrText xml:space="preserve"> PAGEREF _Toc184403539 \h </w:instrText>
        </w:r>
        <w:r>
          <w:rPr>
            <w:noProof/>
            <w:webHidden/>
          </w:rPr>
        </w:r>
        <w:r>
          <w:rPr>
            <w:noProof/>
            <w:webHidden/>
          </w:rPr>
          <w:fldChar w:fldCharType="separate"/>
        </w:r>
        <w:r>
          <w:rPr>
            <w:noProof/>
            <w:webHidden/>
          </w:rPr>
          <w:t>2</w:t>
        </w:r>
        <w:r>
          <w:rPr>
            <w:noProof/>
            <w:webHidden/>
          </w:rPr>
          <w:fldChar w:fldCharType="end"/>
        </w:r>
      </w:hyperlink>
    </w:p>
    <w:p w14:paraId="769B4BDE" w14:textId="3612D1E5" w:rsidR="008A2576" w:rsidRDefault="008A2576">
      <w:pPr>
        <w:pStyle w:val="TableofFigures"/>
        <w:tabs>
          <w:tab w:val="right" w:leader="dot" w:pos="9016"/>
        </w:tabs>
        <w:rPr>
          <w:rFonts w:eastAsiaTheme="minorEastAsia"/>
          <w:noProof/>
          <w:lang w:eastAsia="en-GB"/>
        </w:rPr>
      </w:pPr>
      <w:hyperlink w:anchor="_Toc184403540" w:history="1">
        <w:r w:rsidRPr="00E23C93">
          <w:rPr>
            <w:rStyle w:val="Hyperlink"/>
            <w:noProof/>
            <w:lang w:val="en-US"/>
          </w:rPr>
          <w:t>Figure 1.3 Basic DAC-principle flow diagram</w:t>
        </w:r>
        <w:r>
          <w:rPr>
            <w:noProof/>
            <w:webHidden/>
          </w:rPr>
          <w:tab/>
        </w:r>
        <w:r>
          <w:rPr>
            <w:noProof/>
            <w:webHidden/>
          </w:rPr>
          <w:fldChar w:fldCharType="begin"/>
        </w:r>
        <w:r>
          <w:rPr>
            <w:noProof/>
            <w:webHidden/>
          </w:rPr>
          <w:instrText xml:space="preserve"> PAGEREF _Toc184403540 \h </w:instrText>
        </w:r>
        <w:r>
          <w:rPr>
            <w:noProof/>
            <w:webHidden/>
          </w:rPr>
        </w:r>
        <w:r>
          <w:rPr>
            <w:noProof/>
            <w:webHidden/>
          </w:rPr>
          <w:fldChar w:fldCharType="separate"/>
        </w:r>
        <w:r>
          <w:rPr>
            <w:noProof/>
            <w:webHidden/>
          </w:rPr>
          <w:t>3</w:t>
        </w:r>
        <w:r>
          <w:rPr>
            <w:noProof/>
            <w:webHidden/>
          </w:rPr>
          <w:fldChar w:fldCharType="end"/>
        </w:r>
      </w:hyperlink>
    </w:p>
    <w:p w14:paraId="3EBA86B3" w14:textId="070EA6EA" w:rsidR="008A2576" w:rsidRDefault="008A2576">
      <w:pPr>
        <w:pStyle w:val="TableofFigures"/>
        <w:tabs>
          <w:tab w:val="right" w:leader="dot" w:pos="9016"/>
        </w:tabs>
        <w:rPr>
          <w:rFonts w:eastAsiaTheme="minorEastAsia"/>
          <w:noProof/>
          <w:lang w:eastAsia="en-GB"/>
        </w:rPr>
      </w:pPr>
      <w:hyperlink w:anchor="_Toc184403541" w:history="1">
        <w:r w:rsidRPr="00E23C93">
          <w:rPr>
            <w:rStyle w:val="Hyperlink"/>
            <w:noProof/>
            <w:lang w:val="en-US"/>
          </w:rPr>
          <w:t>Figure 1.4: Nested circle graph of Scopus search strategy hits</w:t>
        </w:r>
        <w:r>
          <w:rPr>
            <w:noProof/>
            <w:webHidden/>
          </w:rPr>
          <w:tab/>
        </w:r>
        <w:r>
          <w:rPr>
            <w:noProof/>
            <w:webHidden/>
          </w:rPr>
          <w:fldChar w:fldCharType="begin"/>
        </w:r>
        <w:r>
          <w:rPr>
            <w:noProof/>
            <w:webHidden/>
          </w:rPr>
          <w:instrText xml:space="preserve"> PAGEREF _Toc184403541 \h </w:instrText>
        </w:r>
        <w:r>
          <w:rPr>
            <w:noProof/>
            <w:webHidden/>
          </w:rPr>
        </w:r>
        <w:r>
          <w:rPr>
            <w:noProof/>
            <w:webHidden/>
          </w:rPr>
          <w:fldChar w:fldCharType="separate"/>
        </w:r>
        <w:r>
          <w:rPr>
            <w:noProof/>
            <w:webHidden/>
          </w:rPr>
          <w:t>5</w:t>
        </w:r>
        <w:r>
          <w:rPr>
            <w:noProof/>
            <w:webHidden/>
          </w:rPr>
          <w:fldChar w:fldCharType="end"/>
        </w:r>
      </w:hyperlink>
    </w:p>
    <w:p w14:paraId="14CE4F08" w14:textId="467459EF" w:rsidR="008A2576" w:rsidRDefault="008A2576">
      <w:pPr>
        <w:pStyle w:val="TableofFigures"/>
        <w:tabs>
          <w:tab w:val="right" w:leader="dot" w:pos="9016"/>
        </w:tabs>
        <w:rPr>
          <w:rFonts w:eastAsiaTheme="minorEastAsia"/>
          <w:noProof/>
          <w:lang w:eastAsia="en-GB"/>
        </w:rPr>
      </w:pPr>
      <w:hyperlink w:anchor="_Toc184403542" w:history="1">
        <w:r w:rsidRPr="00E23C93">
          <w:rPr>
            <w:rStyle w:val="Hyperlink"/>
            <w:noProof/>
          </w:rPr>
          <w:t>Figure 2.1: Research Flow Diagram</w:t>
        </w:r>
        <w:r>
          <w:rPr>
            <w:noProof/>
            <w:webHidden/>
          </w:rPr>
          <w:tab/>
        </w:r>
        <w:r>
          <w:rPr>
            <w:noProof/>
            <w:webHidden/>
          </w:rPr>
          <w:fldChar w:fldCharType="begin"/>
        </w:r>
        <w:r>
          <w:rPr>
            <w:noProof/>
            <w:webHidden/>
          </w:rPr>
          <w:instrText xml:space="preserve"> PAGEREF _Toc184403542 \h </w:instrText>
        </w:r>
        <w:r>
          <w:rPr>
            <w:noProof/>
            <w:webHidden/>
          </w:rPr>
        </w:r>
        <w:r>
          <w:rPr>
            <w:noProof/>
            <w:webHidden/>
          </w:rPr>
          <w:fldChar w:fldCharType="separate"/>
        </w:r>
        <w:r>
          <w:rPr>
            <w:noProof/>
            <w:webHidden/>
          </w:rPr>
          <w:t>10</w:t>
        </w:r>
        <w:r>
          <w:rPr>
            <w:noProof/>
            <w:webHidden/>
          </w:rPr>
          <w:fldChar w:fldCharType="end"/>
        </w:r>
      </w:hyperlink>
    </w:p>
    <w:p w14:paraId="49BA9CC1" w14:textId="37B82AD0" w:rsidR="008A2576" w:rsidRDefault="008A2576">
      <w:pPr>
        <w:pStyle w:val="TableofFigures"/>
        <w:tabs>
          <w:tab w:val="right" w:leader="dot" w:pos="9016"/>
        </w:tabs>
        <w:rPr>
          <w:rFonts w:eastAsiaTheme="minorEastAsia"/>
          <w:noProof/>
          <w:lang w:eastAsia="en-GB"/>
        </w:rPr>
      </w:pPr>
      <w:hyperlink w:anchor="_Toc184403543" w:history="1">
        <w:r w:rsidRPr="00E23C93">
          <w:rPr>
            <w:rStyle w:val="Hyperlink"/>
            <w:noProof/>
            <w:lang w:val="en-US"/>
          </w:rPr>
          <w:t>Figure 2.2: Schematic representation of the 5 steps in analyzing a technological innovation system for policy analysis (Hekkert et al., 2011)</w:t>
        </w:r>
        <w:r>
          <w:rPr>
            <w:noProof/>
            <w:webHidden/>
          </w:rPr>
          <w:tab/>
        </w:r>
        <w:r>
          <w:rPr>
            <w:noProof/>
            <w:webHidden/>
          </w:rPr>
          <w:fldChar w:fldCharType="begin"/>
        </w:r>
        <w:r>
          <w:rPr>
            <w:noProof/>
            <w:webHidden/>
          </w:rPr>
          <w:instrText xml:space="preserve"> PAGEREF _Toc184403543 \h </w:instrText>
        </w:r>
        <w:r>
          <w:rPr>
            <w:noProof/>
            <w:webHidden/>
          </w:rPr>
        </w:r>
        <w:r>
          <w:rPr>
            <w:noProof/>
            <w:webHidden/>
          </w:rPr>
          <w:fldChar w:fldCharType="separate"/>
        </w:r>
        <w:r>
          <w:rPr>
            <w:noProof/>
            <w:webHidden/>
          </w:rPr>
          <w:t>13</w:t>
        </w:r>
        <w:r>
          <w:rPr>
            <w:noProof/>
            <w:webHidden/>
          </w:rPr>
          <w:fldChar w:fldCharType="end"/>
        </w:r>
      </w:hyperlink>
    </w:p>
    <w:p w14:paraId="171C7075" w14:textId="3FDCF80B" w:rsidR="008A2576" w:rsidRDefault="008A2576">
      <w:pPr>
        <w:pStyle w:val="TableofFigures"/>
        <w:tabs>
          <w:tab w:val="right" w:leader="dot" w:pos="9016"/>
        </w:tabs>
        <w:rPr>
          <w:rFonts w:eastAsiaTheme="minorEastAsia"/>
          <w:noProof/>
          <w:lang w:eastAsia="en-GB"/>
        </w:rPr>
      </w:pPr>
      <w:hyperlink w:anchor="_Toc184403544" w:history="1">
        <w:r w:rsidRPr="00E23C93">
          <w:rPr>
            <w:rStyle w:val="Hyperlink"/>
            <w:noProof/>
            <w:lang w:val="en-US"/>
          </w:rPr>
          <w:t>Figure 2.3: Socio-technical Analysis</w:t>
        </w:r>
        <w:r>
          <w:rPr>
            <w:noProof/>
            <w:webHidden/>
          </w:rPr>
          <w:tab/>
        </w:r>
        <w:r>
          <w:rPr>
            <w:noProof/>
            <w:webHidden/>
          </w:rPr>
          <w:fldChar w:fldCharType="begin"/>
        </w:r>
        <w:r>
          <w:rPr>
            <w:noProof/>
            <w:webHidden/>
          </w:rPr>
          <w:instrText xml:space="preserve"> PAGEREF _Toc184403544 \h </w:instrText>
        </w:r>
        <w:r>
          <w:rPr>
            <w:noProof/>
            <w:webHidden/>
          </w:rPr>
        </w:r>
        <w:r>
          <w:rPr>
            <w:noProof/>
            <w:webHidden/>
          </w:rPr>
          <w:fldChar w:fldCharType="separate"/>
        </w:r>
        <w:r>
          <w:rPr>
            <w:noProof/>
            <w:webHidden/>
          </w:rPr>
          <w:t>13</w:t>
        </w:r>
        <w:r>
          <w:rPr>
            <w:noProof/>
            <w:webHidden/>
          </w:rPr>
          <w:fldChar w:fldCharType="end"/>
        </w:r>
      </w:hyperlink>
    </w:p>
    <w:p w14:paraId="3912F1E6" w14:textId="20CF3654" w:rsidR="008A2576" w:rsidRDefault="008A2576">
      <w:pPr>
        <w:pStyle w:val="TableofFigures"/>
        <w:tabs>
          <w:tab w:val="right" w:leader="dot" w:pos="9016"/>
        </w:tabs>
        <w:rPr>
          <w:rFonts w:eastAsiaTheme="minorEastAsia"/>
          <w:noProof/>
          <w:lang w:eastAsia="en-GB"/>
        </w:rPr>
      </w:pPr>
      <w:hyperlink w:anchor="_Toc184403545" w:history="1">
        <w:r w:rsidRPr="00E23C93">
          <w:rPr>
            <w:rStyle w:val="Hyperlink"/>
            <w:noProof/>
            <w:lang w:val="en-US"/>
          </w:rPr>
          <w:t>Figure 2.4: Actors within the Technology Innovation System (Hekkert et al., 2011)</w:t>
        </w:r>
        <w:r>
          <w:rPr>
            <w:noProof/>
            <w:webHidden/>
          </w:rPr>
          <w:tab/>
        </w:r>
        <w:r>
          <w:rPr>
            <w:noProof/>
            <w:webHidden/>
          </w:rPr>
          <w:fldChar w:fldCharType="begin"/>
        </w:r>
        <w:r>
          <w:rPr>
            <w:noProof/>
            <w:webHidden/>
          </w:rPr>
          <w:instrText xml:space="preserve"> PAGEREF _Toc184403545 \h </w:instrText>
        </w:r>
        <w:r>
          <w:rPr>
            <w:noProof/>
            <w:webHidden/>
          </w:rPr>
        </w:r>
        <w:r>
          <w:rPr>
            <w:noProof/>
            <w:webHidden/>
          </w:rPr>
          <w:fldChar w:fldCharType="separate"/>
        </w:r>
        <w:r>
          <w:rPr>
            <w:noProof/>
            <w:webHidden/>
          </w:rPr>
          <w:t>15</w:t>
        </w:r>
        <w:r>
          <w:rPr>
            <w:noProof/>
            <w:webHidden/>
          </w:rPr>
          <w:fldChar w:fldCharType="end"/>
        </w:r>
      </w:hyperlink>
    </w:p>
    <w:p w14:paraId="26D6E3A4" w14:textId="5F55BA72" w:rsidR="008A2576" w:rsidRDefault="008A2576">
      <w:pPr>
        <w:pStyle w:val="TableofFigures"/>
        <w:tabs>
          <w:tab w:val="right" w:leader="dot" w:pos="9016"/>
        </w:tabs>
        <w:rPr>
          <w:rFonts w:eastAsiaTheme="minorEastAsia"/>
          <w:noProof/>
          <w:lang w:eastAsia="en-GB"/>
        </w:rPr>
      </w:pPr>
      <w:hyperlink w:anchor="_Toc184403546" w:history="1">
        <w:r w:rsidRPr="00E23C93">
          <w:rPr>
            <w:rStyle w:val="Hyperlink"/>
            <w:noProof/>
            <w:lang w:val="en-US"/>
          </w:rPr>
          <w:t>Figure 2.5: Phases of Techno-economic Assessment (Zimmerman et al., 2020)</w:t>
        </w:r>
        <w:r>
          <w:rPr>
            <w:noProof/>
            <w:webHidden/>
          </w:rPr>
          <w:tab/>
        </w:r>
        <w:r>
          <w:rPr>
            <w:noProof/>
            <w:webHidden/>
          </w:rPr>
          <w:fldChar w:fldCharType="begin"/>
        </w:r>
        <w:r>
          <w:rPr>
            <w:noProof/>
            <w:webHidden/>
          </w:rPr>
          <w:instrText xml:space="preserve"> PAGEREF _Toc184403546 \h </w:instrText>
        </w:r>
        <w:r>
          <w:rPr>
            <w:noProof/>
            <w:webHidden/>
          </w:rPr>
        </w:r>
        <w:r>
          <w:rPr>
            <w:noProof/>
            <w:webHidden/>
          </w:rPr>
          <w:fldChar w:fldCharType="separate"/>
        </w:r>
        <w:r>
          <w:rPr>
            <w:noProof/>
            <w:webHidden/>
          </w:rPr>
          <w:t>16</w:t>
        </w:r>
        <w:r>
          <w:rPr>
            <w:noProof/>
            <w:webHidden/>
          </w:rPr>
          <w:fldChar w:fldCharType="end"/>
        </w:r>
      </w:hyperlink>
    </w:p>
    <w:p w14:paraId="1CE7D150" w14:textId="55376E93" w:rsidR="008A2576" w:rsidRDefault="008A2576">
      <w:pPr>
        <w:pStyle w:val="TableofFigures"/>
        <w:tabs>
          <w:tab w:val="right" w:leader="dot" w:pos="9016"/>
        </w:tabs>
        <w:rPr>
          <w:rFonts w:eastAsiaTheme="minorEastAsia"/>
          <w:noProof/>
          <w:lang w:eastAsia="en-GB"/>
        </w:rPr>
      </w:pPr>
      <w:hyperlink w:anchor="_Toc184403547" w:history="1">
        <w:r w:rsidRPr="00E23C93">
          <w:rPr>
            <w:rStyle w:val="Hyperlink"/>
            <w:noProof/>
            <w:lang w:val="en-US"/>
          </w:rPr>
          <w:t>Figure 3.1: high level flow chart for SAF production</w:t>
        </w:r>
        <w:r>
          <w:rPr>
            <w:noProof/>
            <w:webHidden/>
          </w:rPr>
          <w:tab/>
        </w:r>
        <w:r>
          <w:rPr>
            <w:noProof/>
            <w:webHidden/>
          </w:rPr>
          <w:fldChar w:fldCharType="begin"/>
        </w:r>
        <w:r>
          <w:rPr>
            <w:noProof/>
            <w:webHidden/>
          </w:rPr>
          <w:instrText xml:space="preserve"> PAGEREF _Toc184403547 \h </w:instrText>
        </w:r>
        <w:r>
          <w:rPr>
            <w:noProof/>
            <w:webHidden/>
          </w:rPr>
        </w:r>
        <w:r>
          <w:rPr>
            <w:noProof/>
            <w:webHidden/>
          </w:rPr>
          <w:fldChar w:fldCharType="separate"/>
        </w:r>
        <w:r>
          <w:rPr>
            <w:noProof/>
            <w:webHidden/>
          </w:rPr>
          <w:t>23</w:t>
        </w:r>
        <w:r>
          <w:rPr>
            <w:noProof/>
            <w:webHidden/>
          </w:rPr>
          <w:fldChar w:fldCharType="end"/>
        </w:r>
      </w:hyperlink>
    </w:p>
    <w:p w14:paraId="0455AF86" w14:textId="5F50B0CA" w:rsidR="008A2576" w:rsidRDefault="008A2576">
      <w:pPr>
        <w:pStyle w:val="TableofFigures"/>
        <w:tabs>
          <w:tab w:val="right" w:leader="dot" w:pos="9016"/>
        </w:tabs>
        <w:rPr>
          <w:rFonts w:eastAsiaTheme="minorEastAsia"/>
          <w:noProof/>
          <w:lang w:eastAsia="en-GB"/>
        </w:rPr>
      </w:pPr>
      <w:hyperlink w:anchor="_Toc184403548" w:history="1">
        <w:r w:rsidRPr="00E23C93">
          <w:rPr>
            <w:rStyle w:val="Hyperlink"/>
            <w:noProof/>
            <w:lang w:val="en-US"/>
          </w:rPr>
          <w:t>Figure 3.2: integrated pathways for e-fuels and biofuels production</w:t>
        </w:r>
        <w:r>
          <w:rPr>
            <w:noProof/>
            <w:webHidden/>
          </w:rPr>
          <w:tab/>
        </w:r>
        <w:r>
          <w:rPr>
            <w:noProof/>
            <w:webHidden/>
          </w:rPr>
          <w:fldChar w:fldCharType="begin"/>
        </w:r>
        <w:r>
          <w:rPr>
            <w:noProof/>
            <w:webHidden/>
          </w:rPr>
          <w:instrText xml:space="preserve"> PAGEREF _Toc184403548 \h </w:instrText>
        </w:r>
        <w:r>
          <w:rPr>
            <w:noProof/>
            <w:webHidden/>
          </w:rPr>
        </w:r>
        <w:r>
          <w:rPr>
            <w:noProof/>
            <w:webHidden/>
          </w:rPr>
          <w:fldChar w:fldCharType="separate"/>
        </w:r>
        <w:r>
          <w:rPr>
            <w:noProof/>
            <w:webHidden/>
          </w:rPr>
          <w:t>23</w:t>
        </w:r>
        <w:r>
          <w:rPr>
            <w:noProof/>
            <w:webHidden/>
          </w:rPr>
          <w:fldChar w:fldCharType="end"/>
        </w:r>
      </w:hyperlink>
    </w:p>
    <w:p w14:paraId="663B69C4" w14:textId="065A4FC4" w:rsidR="008A2576" w:rsidRDefault="008A2576">
      <w:pPr>
        <w:pStyle w:val="TableofFigures"/>
        <w:tabs>
          <w:tab w:val="right" w:leader="dot" w:pos="9016"/>
        </w:tabs>
        <w:rPr>
          <w:rFonts w:eastAsiaTheme="minorEastAsia"/>
          <w:noProof/>
          <w:lang w:eastAsia="en-GB"/>
        </w:rPr>
      </w:pPr>
      <w:hyperlink w:anchor="_Toc184403549" w:history="1">
        <w:r w:rsidRPr="00E23C93">
          <w:rPr>
            <w:rStyle w:val="Hyperlink"/>
            <w:noProof/>
            <w:lang w:val="en-US"/>
          </w:rPr>
          <w:t>Figure 3.3: overview of the SAF TIS actors</w:t>
        </w:r>
        <w:r>
          <w:rPr>
            <w:noProof/>
            <w:webHidden/>
          </w:rPr>
          <w:tab/>
        </w:r>
        <w:r>
          <w:rPr>
            <w:noProof/>
            <w:webHidden/>
          </w:rPr>
          <w:fldChar w:fldCharType="begin"/>
        </w:r>
        <w:r>
          <w:rPr>
            <w:noProof/>
            <w:webHidden/>
          </w:rPr>
          <w:instrText xml:space="preserve"> PAGEREF _Toc184403549 \h </w:instrText>
        </w:r>
        <w:r>
          <w:rPr>
            <w:noProof/>
            <w:webHidden/>
          </w:rPr>
        </w:r>
        <w:r>
          <w:rPr>
            <w:noProof/>
            <w:webHidden/>
          </w:rPr>
          <w:fldChar w:fldCharType="separate"/>
        </w:r>
        <w:r>
          <w:rPr>
            <w:noProof/>
            <w:webHidden/>
          </w:rPr>
          <w:t>29</w:t>
        </w:r>
        <w:r>
          <w:rPr>
            <w:noProof/>
            <w:webHidden/>
          </w:rPr>
          <w:fldChar w:fldCharType="end"/>
        </w:r>
      </w:hyperlink>
    </w:p>
    <w:p w14:paraId="105565FD" w14:textId="3EB92E10" w:rsidR="008A2576" w:rsidRDefault="008A2576">
      <w:pPr>
        <w:pStyle w:val="TableofFigures"/>
        <w:tabs>
          <w:tab w:val="right" w:leader="dot" w:pos="9016"/>
        </w:tabs>
        <w:rPr>
          <w:rFonts w:eastAsiaTheme="minorEastAsia"/>
          <w:noProof/>
          <w:lang w:eastAsia="en-GB"/>
        </w:rPr>
      </w:pPr>
      <w:hyperlink w:anchor="_Toc184403550" w:history="1">
        <w:r w:rsidRPr="00E23C93">
          <w:rPr>
            <w:rStyle w:val="Hyperlink"/>
            <w:noProof/>
            <w:lang w:val="en-US"/>
          </w:rPr>
          <w:t>Figure 3.4: Diagram representing renewable electricity and the criteria for RFNBOs (Appendix F; Roundtable on Sustainable Biomaterials, 2024)</w:t>
        </w:r>
        <w:r>
          <w:rPr>
            <w:noProof/>
            <w:webHidden/>
          </w:rPr>
          <w:tab/>
        </w:r>
        <w:r>
          <w:rPr>
            <w:noProof/>
            <w:webHidden/>
          </w:rPr>
          <w:fldChar w:fldCharType="begin"/>
        </w:r>
        <w:r>
          <w:rPr>
            <w:noProof/>
            <w:webHidden/>
          </w:rPr>
          <w:instrText xml:space="preserve"> PAGEREF _Toc184403550 \h </w:instrText>
        </w:r>
        <w:r>
          <w:rPr>
            <w:noProof/>
            <w:webHidden/>
          </w:rPr>
        </w:r>
        <w:r>
          <w:rPr>
            <w:noProof/>
            <w:webHidden/>
          </w:rPr>
          <w:fldChar w:fldCharType="separate"/>
        </w:r>
        <w:r>
          <w:rPr>
            <w:noProof/>
            <w:webHidden/>
          </w:rPr>
          <w:t>35</w:t>
        </w:r>
        <w:r>
          <w:rPr>
            <w:noProof/>
            <w:webHidden/>
          </w:rPr>
          <w:fldChar w:fldCharType="end"/>
        </w:r>
      </w:hyperlink>
    </w:p>
    <w:p w14:paraId="37364FF6" w14:textId="33CBF6D7" w:rsidR="008A2576" w:rsidRDefault="008A2576">
      <w:pPr>
        <w:pStyle w:val="TableofFigures"/>
        <w:tabs>
          <w:tab w:val="right" w:leader="dot" w:pos="9016"/>
        </w:tabs>
        <w:rPr>
          <w:rFonts w:eastAsiaTheme="minorEastAsia"/>
          <w:noProof/>
          <w:lang w:eastAsia="en-GB"/>
        </w:rPr>
      </w:pPr>
      <w:hyperlink w:anchor="_Toc184403551" w:history="1">
        <w:r w:rsidRPr="00E23C93">
          <w:rPr>
            <w:rStyle w:val="Hyperlink"/>
            <w:noProof/>
            <w:lang w:val="en-US"/>
          </w:rPr>
          <w:t>Figure 3.5: Map of announced large scale e-kerosene projects in the EU (Mutrelle, 2024)</w:t>
        </w:r>
        <w:r>
          <w:rPr>
            <w:noProof/>
            <w:webHidden/>
          </w:rPr>
          <w:tab/>
        </w:r>
        <w:r>
          <w:rPr>
            <w:noProof/>
            <w:webHidden/>
          </w:rPr>
          <w:fldChar w:fldCharType="begin"/>
        </w:r>
        <w:r>
          <w:rPr>
            <w:noProof/>
            <w:webHidden/>
          </w:rPr>
          <w:instrText xml:space="preserve"> PAGEREF _Toc184403551 \h </w:instrText>
        </w:r>
        <w:r>
          <w:rPr>
            <w:noProof/>
            <w:webHidden/>
          </w:rPr>
        </w:r>
        <w:r>
          <w:rPr>
            <w:noProof/>
            <w:webHidden/>
          </w:rPr>
          <w:fldChar w:fldCharType="separate"/>
        </w:r>
        <w:r>
          <w:rPr>
            <w:noProof/>
            <w:webHidden/>
          </w:rPr>
          <w:t>37</w:t>
        </w:r>
        <w:r>
          <w:rPr>
            <w:noProof/>
            <w:webHidden/>
          </w:rPr>
          <w:fldChar w:fldCharType="end"/>
        </w:r>
      </w:hyperlink>
    </w:p>
    <w:p w14:paraId="39A65AEC" w14:textId="5713A2EF" w:rsidR="008A2576" w:rsidRDefault="008A2576">
      <w:pPr>
        <w:pStyle w:val="TableofFigures"/>
        <w:tabs>
          <w:tab w:val="right" w:leader="dot" w:pos="9016"/>
        </w:tabs>
        <w:rPr>
          <w:rFonts w:eastAsiaTheme="minorEastAsia"/>
          <w:noProof/>
          <w:lang w:eastAsia="en-GB"/>
        </w:rPr>
      </w:pPr>
      <w:hyperlink w:anchor="_Toc184403552" w:history="1">
        <w:r w:rsidRPr="00E23C93">
          <w:rPr>
            <w:rStyle w:val="Hyperlink"/>
            <w:noProof/>
            <w:lang w:val="en-US"/>
          </w:rPr>
          <w:t>Figure 3.6: European CO₂ infrastructure for 2030 (European Commission et al., 2024)</w:t>
        </w:r>
        <w:r>
          <w:rPr>
            <w:noProof/>
            <w:webHidden/>
          </w:rPr>
          <w:tab/>
        </w:r>
        <w:r>
          <w:rPr>
            <w:noProof/>
            <w:webHidden/>
          </w:rPr>
          <w:fldChar w:fldCharType="begin"/>
        </w:r>
        <w:r>
          <w:rPr>
            <w:noProof/>
            <w:webHidden/>
          </w:rPr>
          <w:instrText xml:space="preserve"> PAGEREF _Toc184403552 \h </w:instrText>
        </w:r>
        <w:r>
          <w:rPr>
            <w:noProof/>
            <w:webHidden/>
          </w:rPr>
        </w:r>
        <w:r>
          <w:rPr>
            <w:noProof/>
            <w:webHidden/>
          </w:rPr>
          <w:fldChar w:fldCharType="separate"/>
        </w:r>
        <w:r>
          <w:rPr>
            <w:noProof/>
            <w:webHidden/>
          </w:rPr>
          <w:t>38</w:t>
        </w:r>
        <w:r>
          <w:rPr>
            <w:noProof/>
            <w:webHidden/>
          </w:rPr>
          <w:fldChar w:fldCharType="end"/>
        </w:r>
      </w:hyperlink>
    </w:p>
    <w:p w14:paraId="3DFADF4F" w14:textId="755E8081" w:rsidR="008A2576" w:rsidRDefault="008A2576">
      <w:pPr>
        <w:pStyle w:val="TableofFigures"/>
        <w:tabs>
          <w:tab w:val="right" w:leader="dot" w:pos="9016"/>
        </w:tabs>
        <w:rPr>
          <w:rFonts w:eastAsiaTheme="minorEastAsia"/>
          <w:noProof/>
          <w:lang w:eastAsia="en-GB"/>
        </w:rPr>
      </w:pPr>
      <w:hyperlink w:anchor="_Toc184403553" w:history="1">
        <w:r w:rsidRPr="00E23C93">
          <w:rPr>
            <w:rStyle w:val="Hyperlink"/>
            <w:noProof/>
            <w:lang w:val="en-US"/>
          </w:rPr>
          <w:t>Figure 3.7: European CO₂ infrastructure for 2050 (European Commission et al., 2024)</w:t>
        </w:r>
        <w:r>
          <w:rPr>
            <w:noProof/>
            <w:webHidden/>
          </w:rPr>
          <w:tab/>
        </w:r>
        <w:r>
          <w:rPr>
            <w:noProof/>
            <w:webHidden/>
          </w:rPr>
          <w:fldChar w:fldCharType="begin"/>
        </w:r>
        <w:r>
          <w:rPr>
            <w:noProof/>
            <w:webHidden/>
          </w:rPr>
          <w:instrText xml:space="preserve"> PAGEREF _Toc184403553 \h </w:instrText>
        </w:r>
        <w:r>
          <w:rPr>
            <w:noProof/>
            <w:webHidden/>
          </w:rPr>
        </w:r>
        <w:r>
          <w:rPr>
            <w:noProof/>
            <w:webHidden/>
          </w:rPr>
          <w:fldChar w:fldCharType="separate"/>
        </w:r>
        <w:r>
          <w:rPr>
            <w:noProof/>
            <w:webHidden/>
          </w:rPr>
          <w:t>39</w:t>
        </w:r>
        <w:r>
          <w:rPr>
            <w:noProof/>
            <w:webHidden/>
          </w:rPr>
          <w:fldChar w:fldCharType="end"/>
        </w:r>
      </w:hyperlink>
    </w:p>
    <w:p w14:paraId="5C55AFCA" w14:textId="3DF0F9B4" w:rsidR="008A2576" w:rsidRDefault="008A2576">
      <w:pPr>
        <w:pStyle w:val="TableofFigures"/>
        <w:tabs>
          <w:tab w:val="right" w:leader="dot" w:pos="9016"/>
        </w:tabs>
        <w:rPr>
          <w:rFonts w:eastAsiaTheme="minorEastAsia"/>
          <w:noProof/>
          <w:lang w:eastAsia="en-GB"/>
        </w:rPr>
      </w:pPr>
      <w:hyperlink w:anchor="_Toc184403554" w:history="1">
        <w:r w:rsidRPr="00E23C93">
          <w:rPr>
            <w:rStyle w:val="Hyperlink"/>
            <w:noProof/>
            <w:lang w:val="en-US"/>
          </w:rPr>
          <w:t>Figure 3.8: Fruchterman Reingold layout representing the network of the European eSAF projects</w:t>
        </w:r>
        <w:r>
          <w:rPr>
            <w:noProof/>
            <w:webHidden/>
          </w:rPr>
          <w:tab/>
        </w:r>
        <w:r>
          <w:rPr>
            <w:noProof/>
            <w:webHidden/>
          </w:rPr>
          <w:fldChar w:fldCharType="begin"/>
        </w:r>
        <w:r>
          <w:rPr>
            <w:noProof/>
            <w:webHidden/>
          </w:rPr>
          <w:instrText xml:space="preserve"> PAGEREF _Toc184403554 \h </w:instrText>
        </w:r>
        <w:r>
          <w:rPr>
            <w:noProof/>
            <w:webHidden/>
          </w:rPr>
        </w:r>
        <w:r>
          <w:rPr>
            <w:noProof/>
            <w:webHidden/>
          </w:rPr>
          <w:fldChar w:fldCharType="separate"/>
        </w:r>
        <w:r>
          <w:rPr>
            <w:noProof/>
            <w:webHidden/>
          </w:rPr>
          <w:t>40</w:t>
        </w:r>
        <w:r>
          <w:rPr>
            <w:noProof/>
            <w:webHidden/>
          </w:rPr>
          <w:fldChar w:fldCharType="end"/>
        </w:r>
      </w:hyperlink>
    </w:p>
    <w:p w14:paraId="5E45CD45" w14:textId="56C2A14C" w:rsidR="008A2576" w:rsidRDefault="008A2576">
      <w:pPr>
        <w:pStyle w:val="TableofFigures"/>
        <w:tabs>
          <w:tab w:val="right" w:leader="dot" w:pos="9016"/>
        </w:tabs>
        <w:rPr>
          <w:rFonts w:eastAsiaTheme="minorEastAsia"/>
          <w:noProof/>
          <w:lang w:eastAsia="en-GB"/>
        </w:rPr>
      </w:pPr>
      <w:hyperlink w:anchor="_Toc184403555" w:history="1">
        <w:r w:rsidRPr="00E23C93">
          <w:rPr>
            <w:rStyle w:val="Hyperlink"/>
            <w:noProof/>
            <w:lang w:val="en-US"/>
          </w:rPr>
          <w:t>Figure 4.1: CAPEX and energy requirement curve for DAC from 2024 to 2050</w:t>
        </w:r>
        <w:r>
          <w:rPr>
            <w:noProof/>
            <w:webHidden/>
          </w:rPr>
          <w:tab/>
        </w:r>
        <w:r>
          <w:rPr>
            <w:noProof/>
            <w:webHidden/>
          </w:rPr>
          <w:fldChar w:fldCharType="begin"/>
        </w:r>
        <w:r>
          <w:rPr>
            <w:noProof/>
            <w:webHidden/>
          </w:rPr>
          <w:instrText xml:space="preserve"> PAGEREF _Toc184403555 \h </w:instrText>
        </w:r>
        <w:r>
          <w:rPr>
            <w:noProof/>
            <w:webHidden/>
          </w:rPr>
        </w:r>
        <w:r>
          <w:rPr>
            <w:noProof/>
            <w:webHidden/>
          </w:rPr>
          <w:fldChar w:fldCharType="separate"/>
        </w:r>
        <w:r>
          <w:rPr>
            <w:noProof/>
            <w:webHidden/>
          </w:rPr>
          <w:t>49</w:t>
        </w:r>
        <w:r>
          <w:rPr>
            <w:noProof/>
            <w:webHidden/>
          </w:rPr>
          <w:fldChar w:fldCharType="end"/>
        </w:r>
      </w:hyperlink>
    </w:p>
    <w:p w14:paraId="36E0B7B1" w14:textId="606EFE96" w:rsidR="008A2576" w:rsidRDefault="008A2576">
      <w:pPr>
        <w:pStyle w:val="TableofFigures"/>
        <w:tabs>
          <w:tab w:val="right" w:leader="dot" w:pos="9016"/>
        </w:tabs>
        <w:rPr>
          <w:rFonts w:eastAsiaTheme="minorEastAsia"/>
          <w:noProof/>
          <w:lang w:eastAsia="en-GB"/>
        </w:rPr>
      </w:pPr>
      <w:hyperlink w:anchor="_Toc184403556" w:history="1">
        <w:r w:rsidRPr="00E23C93">
          <w:rPr>
            <w:rStyle w:val="Hyperlink"/>
            <w:noProof/>
            <w:lang w:val="en-US"/>
          </w:rPr>
          <w:t>Figure 4.2 CAPEX and efficiency curve for PEM from 2020 to 2050</w:t>
        </w:r>
        <w:r>
          <w:rPr>
            <w:noProof/>
            <w:webHidden/>
          </w:rPr>
          <w:tab/>
        </w:r>
        <w:r>
          <w:rPr>
            <w:noProof/>
            <w:webHidden/>
          </w:rPr>
          <w:fldChar w:fldCharType="begin"/>
        </w:r>
        <w:r>
          <w:rPr>
            <w:noProof/>
            <w:webHidden/>
          </w:rPr>
          <w:instrText xml:space="preserve"> PAGEREF _Toc184403556 \h </w:instrText>
        </w:r>
        <w:r>
          <w:rPr>
            <w:noProof/>
            <w:webHidden/>
          </w:rPr>
        </w:r>
        <w:r>
          <w:rPr>
            <w:noProof/>
            <w:webHidden/>
          </w:rPr>
          <w:fldChar w:fldCharType="separate"/>
        </w:r>
        <w:r>
          <w:rPr>
            <w:noProof/>
            <w:webHidden/>
          </w:rPr>
          <w:t>50</w:t>
        </w:r>
        <w:r>
          <w:rPr>
            <w:noProof/>
            <w:webHidden/>
          </w:rPr>
          <w:fldChar w:fldCharType="end"/>
        </w:r>
      </w:hyperlink>
    </w:p>
    <w:p w14:paraId="65F3E328" w14:textId="3126E5AD" w:rsidR="008A2576" w:rsidRDefault="008A2576">
      <w:pPr>
        <w:pStyle w:val="TableofFigures"/>
        <w:tabs>
          <w:tab w:val="right" w:leader="dot" w:pos="9016"/>
        </w:tabs>
        <w:rPr>
          <w:rFonts w:eastAsiaTheme="minorEastAsia"/>
          <w:noProof/>
          <w:lang w:eastAsia="en-GB"/>
        </w:rPr>
      </w:pPr>
      <w:hyperlink w:anchor="_Toc184403557" w:history="1">
        <w:r w:rsidRPr="00E23C93">
          <w:rPr>
            <w:rStyle w:val="Hyperlink"/>
            <w:noProof/>
            <w:lang w:val="en-US"/>
          </w:rPr>
          <w:t>Figure 4.3: CAPEX curve for solid oxide co-electrolysis from 2023 to 2050</w:t>
        </w:r>
        <w:r>
          <w:rPr>
            <w:noProof/>
            <w:webHidden/>
          </w:rPr>
          <w:tab/>
        </w:r>
        <w:r>
          <w:rPr>
            <w:noProof/>
            <w:webHidden/>
          </w:rPr>
          <w:fldChar w:fldCharType="begin"/>
        </w:r>
        <w:r>
          <w:rPr>
            <w:noProof/>
            <w:webHidden/>
          </w:rPr>
          <w:instrText xml:space="preserve"> PAGEREF _Toc184403557 \h </w:instrText>
        </w:r>
        <w:r>
          <w:rPr>
            <w:noProof/>
            <w:webHidden/>
          </w:rPr>
        </w:r>
        <w:r>
          <w:rPr>
            <w:noProof/>
            <w:webHidden/>
          </w:rPr>
          <w:fldChar w:fldCharType="separate"/>
        </w:r>
        <w:r>
          <w:rPr>
            <w:noProof/>
            <w:webHidden/>
          </w:rPr>
          <w:t>50</w:t>
        </w:r>
        <w:r>
          <w:rPr>
            <w:noProof/>
            <w:webHidden/>
          </w:rPr>
          <w:fldChar w:fldCharType="end"/>
        </w:r>
      </w:hyperlink>
    </w:p>
    <w:p w14:paraId="585E57E9" w14:textId="79CCF050" w:rsidR="008A2576" w:rsidRDefault="008A2576">
      <w:pPr>
        <w:pStyle w:val="TableofFigures"/>
        <w:tabs>
          <w:tab w:val="right" w:leader="dot" w:pos="9016"/>
        </w:tabs>
        <w:rPr>
          <w:rFonts w:eastAsiaTheme="minorEastAsia"/>
          <w:noProof/>
          <w:lang w:eastAsia="en-GB"/>
        </w:rPr>
      </w:pPr>
      <w:hyperlink w:anchor="_Toc184403558" w:history="1">
        <w:r w:rsidRPr="00E23C93">
          <w:rPr>
            <w:rStyle w:val="Hyperlink"/>
            <w:noProof/>
            <w:lang w:val="en-US"/>
          </w:rPr>
          <w:t>Figure 4.4: CAPEX and efficiency curve for fuel synthesis from 2020 to 2050</w:t>
        </w:r>
        <w:r>
          <w:rPr>
            <w:noProof/>
            <w:webHidden/>
          </w:rPr>
          <w:tab/>
        </w:r>
        <w:r>
          <w:rPr>
            <w:noProof/>
            <w:webHidden/>
          </w:rPr>
          <w:fldChar w:fldCharType="begin"/>
        </w:r>
        <w:r>
          <w:rPr>
            <w:noProof/>
            <w:webHidden/>
          </w:rPr>
          <w:instrText xml:space="preserve"> PAGEREF _Toc184403558 \h </w:instrText>
        </w:r>
        <w:r>
          <w:rPr>
            <w:noProof/>
            <w:webHidden/>
          </w:rPr>
        </w:r>
        <w:r>
          <w:rPr>
            <w:noProof/>
            <w:webHidden/>
          </w:rPr>
          <w:fldChar w:fldCharType="separate"/>
        </w:r>
        <w:r>
          <w:rPr>
            <w:noProof/>
            <w:webHidden/>
          </w:rPr>
          <w:t>51</w:t>
        </w:r>
        <w:r>
          <w:rPr>
            <w:noProof/>
            <w:webHidden/>
          </w:rPr>
          <w:fldChar w:fldCharType="end"/>
        </w:r>
      </w:hyperlink>
    </w:p>
    <w:p w14:paraId="365F7271" w14:textId="27D3496A" w:rsidR="008A2576" w:rsidRDefault="008A2576">
      <w:pPr>
        <w:pStyle w:val="TableofFigures"/>
        <w:tabs>
          <w:tab w:val="right" w:leader="dot" w:pos="9016"/>
        </w:tabs>
        <w:rPr>
          <w:rFonts w:eastAsiaTheme="minorEastAsia"/>
          <w:noProof/>
          <w:lang w:eastAsia="en-GB"/>
        </w:rPr>
      </w:pPr>
      <w:hyperlink w:anchor="_Toc184403559" w:history="1">
        <w:r w:rsidRPr="00E23C93">
          <w:rPr>
            <w:rStyle w:val="Hyperlink"/>
            <w:noProof/>
            <w:lang w:val="en-US"/>
          </w:rPr>
          <w:t>Figure 4.5: EU ETS price forecast for 2025 to 2041. Data obtained from 6 organizations specialized in carbon market models (Kopernikus-Projekt Ariadne, 2023). The forecast was extended to 2041 using trendline analysis in Excel. 2041 marks the final year in which fossil CO₂ can be used for eSAF synthesis.</w:t>
        </w:r>
        <w:r>
          <w:rPr>
            <w:noProof/>
            <w:webHidden/>
          </w:rPr>
          <w:tab/>
        </w:r>
        <w:r>
          <w:rPr>
            <w:noProof/>
            <w:webHidden/>
          </w:rPr>
          <w:fldChar w:fldCharType="begin"/>
        </w:r>
        <w:r>
          <w:rPr>
            <w:noProof/>
            <w:webHidden/>
          </w:rPr>
          <w:instrText xml:space="preserve"> PAGEREF _Toc184403559 \h </w:instrText>
        </w:r>
        <w:r>
          <w:rPr>
            <w:noProof/>
            <w:webHidden/>
          </w:rPr>
        </w:r>
        <w:r>
          <w:rPr>
            <w:noProof/>
            <w:webHidden/>
          </w:rPr>
          <w:fldChar w:fldCharType="separate"/>
        </w:r>
        <w:r>
          <w:rPr>
            <w:noProof/>
            <w:webHidden/>
          </w:rPr>
          <w:t>54</w:t>
        </w:r>
        <w:r>
          <w:rPr>
            <w:noProof/>
            <w:webHidden/>
          </w:rPr>
          <w:fldChar w:fldCharType="end"/>
        </w:r>
      </w:hyperlink>
    </w:p>
    <w:p w14:paraId="06B62901" w14:textId="3ECC131F" w:rsidR="008A2576" w:rsidRDefault="008A2576">
      <w:pPr>
        <w:pStyle w:val="TableofFigures"/>
        <w:tabs>
          <w:tab w:val="right" w:leader="dot" w:pos="9016"/>
        </w:tabs>
        <w:rPr>
          <w:rFonts w:eastAsiaTheme="minorEastAsia"/>
          <w:noProof/>
          <w:lang w:eastAsia="en-GB"/>
        </w:rPr>
      </w:pPr>
      <w:hyperlink w:anchor="_Toc184403560" w:history="1">
        <w:r w:rsidRPr="00E23C93">
          <w:rPr>
            <w:rStyle w:val="Hyperlink"/>
            <w:noProof/>
            <w:lang w:val="en-US"/>
          </w:rPr>
          <w:t>Figure 4.6: CO₂ cost comparison for base case comparing DAC and the proposed CO₂ sources from table 4.4. The base case assumes MWhel = €60,00 and MWhth = €0,00</w:t>
        </w:r>
        <w:r>
          <w:rPr>
            <w:noProof/>
            <w:webHidden/>
          </w:rPr>
          <w:tab/>
        </w:r>
        <w:r>
          <w:rPr>
            <w:noProof/>
            <w:webHidden/>
          </w:rPr>
          <w:fldChar w:fldCharType="begin"/>
        </w:r>
        <w:r>
          <w:rPr>
            <w:noProof/>
            <w:webHidden/>
          </w:rPr>
          <w:instrText xml:space="preserve"> PAGEREF _Toc184403560 \h </w:instrText>
        </w:r>
        <w:r>
          <w:rPr>
            <w:noProof/>
            <w:webHidden/>
          </w:rPr>
        </w:r>
        <w:r>
          <w:rPr>
            <w:noProof/>
            <w:webHidden/>
          </w:rPr>
          <w:fldChar w:fldCharType="separate"/>
        </w:r>
        <w:r>
          <w:rPr>
            <w:noProof/>
            <w:webHidden/>
          </w:rPr>
          <w:t>57</w:t>
        </w:r>
        <w:r>
          <w:rPr>
            <w:noProof/>
            <w:webHidden/>
          </w:rPr>
          <w:fldChar w:fldCharType="end"/>
        </w:r>
      </w:hyperlink>
    </w:p>
    <w:p w14:paraId="154FB793" w14:textId="15E25203" w:rsidR="008A2576" w:rsidRDefault="008A2576">
      <w:pPr>
        <w:pStyle w:val="TableofFigures"/>
        <w:tabs>
          <w:tab w:val="right" w:leader="dot" w:pos="9016"/>
        </w:tabs>
        <w:rPr>
          <w:rFonts w:eastAsiaTheme="minorEastAsia"/>
          <w:noProof/>
          <w:lang w:eastAsia="en-GB"/>
        </w:rPr>
      </w:pPr>
      <w:hyperlink w:anchor="_Toc184403561" w:history="1">
        <w:r w:rsidRPr="00E23C93">
          <w:rPr>
            <w:rStyle w:val="Hyperlink"/>
            <w:noProof/>
            <w:lang w:val="en-US"/>
          </w:rPr>
          <w:t>Figure 4.7: Levelized cost of e-fuel for base case with MWhel = €60,00 and MWhth = €0,00</w:t>
        </w:r>
        <w:r>
          <w:rPr>
            <w:noProof/>
            <w:webHidden/>
          </w:rPr>
          <w:tab/>
        </w:r>
        <w:r>
          <w:rPr>
            <w:noProof/>
            <w:webHidden/>
          </w:rPr>
          <w:fldChar w:fldCharType="begin"/>
        </w:r>
        <w:r>
          <w:rPr>
            <w:noProof/>
            <w:webHidden/>
          </w:rPr>
          <w:instrText xml:space="preserve"> PAGEREF _Toc184403561 \h </w:instrText>
        </w:r>
        <w:r>
          <w:rPr>
            <w:noProof/>
            <w:webHidden/>
          </w:rPr>
        </w:r>
        <w:r>
          <w:rPr>
            <w:noProof/>
            <w:webHidden/>
          </w:rPr>
          <w:fldChar w:fldCharType="separate"/>
        </w:r>
        <w:r>
          <w:rPr>
            <w:noProof/>
            <w:webHidden/>
          </w:rPr>
          <w:t>58</w:t>
        </w:r>
        <w:r>
          <w:rPr>
            <w:noProof/>
            <w:webHidden/>
          </w:rPr>
          <w:fldChar w:fldCharType="end"/>
        </w:r>
      </w:hyperlink>
    </w:p>
    <w:p w14:paraId="2E423C53" w14:textId="0FEB6A45" w:rsidR="008A2576" w:rsidRDefault="008A2576">
      <w:pPr>
        <w:pStyle w:val="TableofFigures"/>
        <w:tabs>
          <w:tab w:val="right" w:leader="dot" w:pos="9016"/>
        </w:tabs>
        <w:rPr>
          <w:rFonts w:eastAsiaTheme="minorEastAsia"/>
          <w:noProof/>
          <w:lang w:eastAsia="en-GB"/>
        </w:rPr>
      </w:pPr>
      <w:hyperlink w:anchor="_Toc184403562" w:history="1">
        <w:r w:rsidRPr="00E23C93">
          <w:rPr>
            <w:rStyle w:val="Hyperlink"/>
            <w:noProof/>
            <w:lang w:val="en-US"/>
          </w:rPr>
          <w:t>Figure 4.8: Levelized cost breakdown for 2024. Costs include CAPEX (dark) and OPEX (light) for Electrolysis (blue), CO₂ sourcing (orange) and fuel synthesis (green).</w:t>
        </w:r>
        <w:r>
          <w:rPr>
            <w:noProof/>
            <w:webHidden/>
          </w:rPr>
          <w:tab/>
        </w:r>
        <w:r>
          <w:rPr>
            <w:noProof/>
            <w:webHidden/>
          </w:rPr>
          <w:fldChar w:fldCharType="begin"/>
        </w:r>
        <w:r>
          <w:rPr>
            <w:noProof/>
            <w:webHidden/>
          </w:rPr>
          <w:instrText xml:space="preserve"> PAGEREF _Toc184403562 \h </w:instrText>
        </w:r>
        <w:r>
          <w:rPr>
            <w:noProof/>
            <w:webHidden/>
          </w:rPr>
        </w:r>
        <w:r>
          <w:rPr>
            <w:noProof/>
            <w:webHidden/>
          </w:rPr>
          <w:fldChar w:fldCharType="separate"/>
        </w:r>
        <w:r>
          <w:rPr>
            <w:noProof/>
            <w:webHidden/>
          </w:rPr>
          <w:t>60</w:t>
        </w:r>
        <w:r>
          <w:rPr>
            <w:noProof/>
            <w:webHidden/>
          </w:rPr>
          <w:fldChar w:fldCharType="end"/>
        </w:r>
      </w:hyperlink>
    </w:p>
    <w:p w14:paraId="3E10FF4A" w14:textId="4E23D8B6" w:rsidR="008A2576" w:rsidRDefault="008A2576">
      <w:pPr>
        <w:pStyle w:val="TableofFigures"/>
        <w:tabs>
          <w:tab w:val="right" w:leader="dot" w:pos="9016"/>
        </w:tabs>
        <w:rPr>
          <w:rFonts w:eastAsiaTheme="minorEastAsia"/>
          <w:noProof/>
          <w:lang w:eastAsia="en-GB"/>
        </w:rPr>
      </w:pPr>
      <w:hyperlink w:anchor="_Toc184403563" w:history="1">
        <w:r w:rsidRPr="00E23C93">
          <w:rPr>
            <w:rStyle w:val="Hyperlink"/>
            <w:noProof/>
            <w:lang w:val="en-US"/>
          </w:rPr>
          <w:t>Figure 4.9: Levelized cost breakdown for 2035. Costs include CAPEX (dark) and OPEX (light) for Electrolysis (blue), CO₂ sourcing (orange) and fuel synthesis (green).</w:t>
        </w:r>
        <w:r>
          <w:rPr>
            <w:noProof/>
            <w:webHidden/>
          </w:rPr>
          <w:tab/>
        </w:r>
        <w:r>
          <w:rPr>
            <w:noProof/>
            <w:webHidden/>
          </w:rPr>
          <w:fldChar w:fldCharType="begin"/>
        </w:r>
        <w:r>
          <w:rPr>
            <w:noProof/>
            <w:webHidden/>
          </w:rPr>
          <w:instrText xml:space="preserve"> PAGEREF _Toc184403563 \h </w:instrText>
        </w:r>
        <w:r>
          <w:rPr>
            <w:noProof/>
            <w:webHidden/>
          </w:rPr>
        </w:r>
        <w:r>
          <w:rPr>
            <w:noProof/>
            <w:webHidden/>
          </w:rPr>
          <w:fldChar w:fldCharType="separate"/>
        </w:r>
        <w:r>
          <w:rPr>
            <w:noProof/>
            <w:webHidden/>
          </w:rPr>
          <w:t>61</w:t>
        </w:r>
        <w:r>
          <w:rPr>
            <w:noProof/>
            <w:webHidden/>
          </w:rPr>
          <w:fldChar w:fldCharType="end"/>
        </w:r>
      </w:hyperlink>
    </w:p>
    <w:p w14:paraId="2D1E8A22" w14:textId="1DA4EAA1" w:rsidR="008A2576" w:rsidRDefault="008A2576">
      <w:pPr>
        <w:pStyle w:val="TableofFigures"/>
        <w:tabs>
          <w:tab w:val="right" w:leader="dot" w:pos="9016"/>
        </w:tabs>
        <w:rPr>
          <w:rFonts w:eastAsiaTheme="minorEastAsia"/>
          <w:noProof/>
          <w:lang w:eastAsia="en-GB"/>
        </w:rPr>
      </w:pPr>
      <w:hyperlink w:anchor="_Toc184403564" w:history="1">
        <w:r w:rsidRPr="00E23C93">
          <w:rPr>
            <w:rStyle w:val="Hyperlink"/>
            <w:noProof/>
            <w:lang w:val="en-US"/>
          </w:rPr>
          <w:t>Figure 4.10: Levelized cost breakdown for 2050. Costs include CAPEX (dark) and OPEX (light) for Electrolysis (blue), CO₂ sourcing (orange) and fuel synthesis (green).</w:t>
        </w:r>
        <w:r>
          <w:rPr>
            <w:noProof/>
            <w:webHidden/>
          </w:rPr>
          <w:tab/>
        </w:r>
        <w:r>
          <w:rPr>
            <w:noProof/>
            <w:webHidden/>
          </w:rPr>
          <w:fldChar w:fldCharType="begin"/>
        </w:r>
        <w:r>
          <w:rPr>
            <w:noProof/>
            <w:webHidden/>
          </w:rPr>
          <w:instrText xml:space="preserve"> PAGEREF _Toc184403564 \h </w:instrText>
        </w:r>
        <w:r>
          <w:rPr>
            <w:noProof/>
            <w:webHidden/>
          </w:rPr>
        </w:r>
        <w:r>
          <w:rPr>
            <w:noProof/>
            <w:webHidden/>
          </w:rPr>
          <w:fldChar w:fldCharType="separate"/>
        </w:r>
        <w:r>
          <w:rPr>
            <w:noProof/>
            <w:webHidden/>
          </w:rPr>
          <w:t>63</w:t>
        </w:r>
        <w:r>
          <w:rPr>
            <w:noProof/>
            <w:webHidden/>
          </w:rPr>
          <w:fldChar w:fldCharType="end"/>
        </w:r>
      </w:hyperlink>
    </w:p>
    <w:p w14:paraId="07A60270" w14:textId="1B1D74B9" w:rsidR="008A2576" w:rsidRDefault="008A2576">
      <w:pPr>
        <w:pStyle w:val="TableofFigures"/>
        <w:tabs>
          <w:tab w:val="right" w:leader="dot" w:pos="9016"/>
        </w:tabs>
        <w:rPr>
          <w:rFonts w:eastAsiaTheme="minorEastAsia"/>
          <w:noProof/>
          <w:lang w:eastAsia="en-GB"/>
        </w:rPr>
      </w:pPr>
      <w:hyperlink w:anchor="_Toc184403565" w:history="1">
        <w:r w:rsidRPr="00E23C93">
          <w:rPr>
            <w:rStyle w:val="Hyperlink"/>
            <w:noProof/>
            <w:lang w:val="en-US"/>
          </w:rPr>
          <w:t>Figure 4.11: Levelized cost of e-fuel for Upper Bound Electricity case with MWhel = €80,00 and MWhth = €0,00</w:t>
        </w:r>
        <w:r>
          <w:rPr>
            <w:noProof/>
            <w:webHidden/>
          </w:rPr>
          <w:tab/>
        </w:r>
        <w:r>
          <w:rPr>
            <w:noProof/>
            <w:webHidden/>
          </w:rPr>
          <w:fldChar w:fldCharType="begin"/>
        </w:r>
        <w:r>
          <w:rPr>
            <w:noProof/>
            <w:webHidden/>
          </w:rPr>
          <w:instrText xml:space="preserve"> PAGEREF _Toc184403565 \h </w:instrText>
        </w:r>
        <w:r>
          <w:rPr>
            <w:noProof/>
            <w:webHidden/>
          </w:rPr>
        </w:r>
        <w:r>
          <w:rPr>
            <w:noProof/>
            <w:webHidden/>
          </w:rPr>
          <w:fldChar w:fldCharType="separate"/>
        </w:r>
        <w:r>
          <w:rPr>
            <w:noProof/>
            <w:webHidden/>
          </w:rPr>
          <w:t>65</w:t>
        </w:r>
        <w:r>
          <w:rPr>
            <w:noProof/>
            <w:webHidden/>
          </w:rPr>
          <w:fldChar w:fldCharType="end"/>
        </w:r>
      </w:hyperlink>
    </w:p>
    <w:p w14:paraId="06B82C20" w14:textId="68EB39C5" w:rsidR="008A2576" w:rsidRDefault="008A2576">
      <w:pPr>
        <w:pStyle w:val="TableofFigures"/>
        <w:tabs>
          <w:tab w:val="right" w:leader="dot" w:pos="9016"/>
        </w:tabs>
        <w:rPr>
          <w:rFonts w:eastAsiaTheme="minorEastAsia"/>
          <w:noProof/>
          <w:lang w:eastAsia="en-GB"/>
        </w:rPr>
      </w:pPr>
      <w:hyperlink w:anchor="_Toc184403566" w:history="1">
        <w:r w:rsidRPr="00E23C93">
          <w:rPr>
            <w:rStyle w:val="Hyperlink"/>
            <w:noProof/>
            <w:lang w:val="en-US"/>
          </w:rPr>
          <w:t>Figure 4.12: Levelized cost of e-fuel for Lower Bound Electricity case with MWhel = €40,00 and MWhth = €0,00</w:t>
        </w:r>
        <w:r>
          <w:rPr>
            <w:noProof/>
            <w:webHidden/>
          </w:rPr>
          <w:tab/>
        </w:r>
        <w:r>
          <w:rPr>
            <w:noProof/>
            <w:webHidden/>
          </w:rPr>
          <w:fldChar w:fldCharType="begin"/>
        </w:r>
        <w:r>
          <w:rPr>
            <w:noProof/>
            <w:webHidden/>
          </w:rPr>
          <w:instrText xml:space="preserve"> PAGEREF _Toc184403566 \h </w:instrText>
        </w:r>
        <w:r>
          <w:rPr>
            <w:noProof/>
            <w:webHidden/>
          </w:rPr>
        </w:r>
        <w:r>
          <w:rPr>
            <w:noProof/>
            <w:webHidden/>
          </w:rPr>
          <w:fldChar w:fldCharType="separate"/>
        </w:r>
        <w:r>
          <w:rPr>
            <w:noProof/>
            <w:webHidden/>
          </w:rPr>
          <w:t>66</w:t>
        </w:r>
        <w:r>
          <w:rPr>
            <w:noProof/>
            <w:webHidden/>
          </w:rPr>
          <w:fldChar w:fldCharType="end"/>
        </w:r>
      </w:hyperlink>
    </w:p>
    <w:p w14:paraId="62818C42" w14:textId="58AF0FED" w:rsidR="008A2576" w:rsidRDefault="008A2576">
      <w:pPr>
        <w:pStyle w:val="TableofFigures"/>
        <w:tabs>
          <w:tab w:val="right" w:leader="dot" w:pos="9016"/>
        </w:tabs>
        <w:rPr>
          <w:rFonts w:eastAsiaTheme="minorEastAsia"/>
          <w:noProof/>
          <w:lang w:eastAsia="en-GB"/>
        </w:rPr>
      </w:pPr>
      <w:hyperlink w:anchor="_Toc184403567" w:history="1">
        <w:r w:rsidRPr="00E23C93">
          <w:rPr>
            <w:rStyle w:val="Hyperlink"/>
            <w:noProof/>
            <w:lang w:val="en-US"/>
          </w:rPr>
          <w:t>Figure 4.13: Levelized cost of e-fuel for Upper Bound WACC case with MWhel = €60,00 and MWhth = €0,00 and WACC = 10%</w:t>
        </w:r>
        <w:r>
          <w:rPr>
            <w:noProof/>
            <w:webHidden/>
          </w:rPr>
          <w:tab/>
        </w:r>
        <w:r>
          <w:rPr>
            <w:noProof/>
            <w:webHidden/>
          </w:rPr>
          <w:fldChar w:fldCharType="begin"/>
        </w:r>
        <w:r>
          <w:rPr>
            <w:noProof/>
            <w:webHidden/>
          </w:rPr>
          <w:instrText xml:space="preserve"> PAGEREF _Toc184403567 \h </w:instrText>
        </w:r>
        <w:r>
          <w:rPr>
            <w:noProof/>
            <w:webHidden/>
          </w:rPr>
        </w:r>
        <w:r>
          <w:rPr>
            <w:noProof/>
            <w:webHidden/>
          </w:rPr>
          <w:fldChar w:fldCharType="separate"/>
        </w:r>
        <w:r>
          <w:rPr>
            <w:noProof/>
            <w:webHidden/>
          </w:rPr>
          <w:t>67</w:t>
        </w:r>
        <w:r>
          <w:rPr>
            <w:noProof/>
            <w:webHidden/>
          </w:rPr>
          <w:fldChar w:fldCharType="end"/>
        </w:r>
      </w:hyperlink>
    </w:p>
    <w:p w14:paraId="1EEEA881" w14:textId="72BB4F23" w:rsidR="008A2576" w:rsidRDefault="008A2576">
      <w:pPr>
        <w:pStyle w:val="TableofFigures"/>
        <w:tabs>
          <w:tab w:val="right" w:leader="dot" w:pos="9016"/>
        </w:tabs>
        <w:rPr>
          <w:rFonts w:eastAsiaTheme="minorEastAsia"/>
          <w:noProof/>
          <w:lang w:eastAsia="en-GB"/>
        </w:rPr>
      </w:pPr>
      <w:hyperlink w:anchor="_Toc184403568" w:history="1">
        <w:r w:rsidRPr="00E23C93">
          <w:rPr>
            <w:rStyle w:val="Hyperlink"/>
            <w:noProof/>
            <w:lang w:val="en-US"/>
          </w:rPr>
          <w:t>Figure 4.14: Levelized cost of e-fuel for Lower Bound WACC case with MWhel = €60,00 and MWhth = €0,00 and WACC = 6%</w:t>
        </w:r>
        <w:r>
          <w:rPr>
            <w:noProof/>
            <w:webHidden/>
          </w:rPr>
          <w:tab/>
        </w:r>
        <w:r>
          <w:rPr>
            <w:noProof/>
            <w:webHidden/>
          </w:rPr>
          <w:fldChar w:fldCharType="begin"/>
        </w:r>
        <w:r>
          <w:rPr>
            <w:noProof/>
            <w:webHidden/>
          </w:rPr>
          <w:instrText xml:space="preserve"> PAGEREF _Toc184403568 \h </w:instrText>
        </w:r>
        <w:r>
          <w:rPr>
            <w:noProof/>
            <w:webHidden/>
          </w:rPr>
        </w:r>
        <w:r>
          <w:rPr>
            <w:noProof/>
            <w:webHidden/>
          </w:rPr>
          <w:fldChar w:fldCharType="separate"/>
        </w:r>
        <w:r>
          <w:rPr>
            <w:noProof/>
            <w:webHidden/>
          </w:rPr>
          <w:t>67</w:t>
        </w:r>
        <w:r>
          <w:rPr>
            <w:noProof/>
            <w:webHidden/>
          </w:rPr>
          <w:fldChar w:fldCharType="end"/>
        </w:r>
      </w:hyperlink>
    </w:p>
    <w:p w14:paraId="44C31F40" w14:textId="218F5D57" w:rsidR="008A2576" w:rsidRDefault="008A2576">
      <w:pPr>
        <w:pStyle w:val="TableofFigures"/>
        <w:tabs>
          <w:tab w:val="right" w:leader="dot" w:pos="9016"/>
        </w:tabs>
        <w:rPr>
          <w:rFonts w:eastAsiaTheme="minorEastAsia"/>
          <w:noProof/>
          <w:lang w:eastAsia="en-GB"/>
        </w:rPr>
      </w:pPr>
      <w:hyperlink w:anchor="_Toc184403569" w:history="1">
        <w:r w:rsidRPr="00E23C93">
          <w:rPr>
            <w:rStyle w:val="Hyperlink"/>
            <w:noProof/>
            <w:lang w:val="en-US"/>
          </w:rPr>
          <w:t>Figure 4.15: Levelized cost of e-fuel for 4000 Operational Hours with MWhel = €60,00 and MWhth = €0,00</w:t>
        </w:r>
        <w:r>
          <w:rPr>
            <w:noProof/>
            <w:webHidden/>
          </w:rPr>
          <w:tab/>
        </w:r>
        <w:r>
          <w:rPr>
            <w:noProof/>
            <w:webHidden/>
          </w:rPr>
          <w:fldChar w:fldCharType="begin"/>
        </w:r>
        <w:r>
          <w:rPr>
            <w:noProof/>
            <w:webHidden/>
          </w:rPr>
          <w:instrText xml:space="preserve"> PAGEREF _Toc184403569 \h </w:instrText>
        </w:r>
        <w:r>
          <w:rPr>
            <w:noProof/>
            <w:webHidden/>
          </w:rPr>
        </w:r>
        <w:r>
          <w:rPr>
            <w:noProof/>
            <w:webHidden/>
          </w:rPr>
          <w:fldChar w:fldCharType="separate"/>
        </w:r>
        <w:r>
          <w:rPr>
            <w:noProof/>
            <w:webHidden/>
          </w:rPr>
          <w:t>68</w:t>
        </w:r>
        <w:r>
          <w:rPr>
            <w:noProof/>
            <w:webHidden/>
          </w:rPr>
          <w:fldChar w:fldCharType="end"/>
        </w:r>
      </w:hyperlink>
    </w:p>
    <w:p w14:paraId="0C92B18C" w14:textId="647817CE" w:rsidR="008A2576" w:rsidRDefault="008A2576">
      <w:pPr>
        <w:pStyle w:val="TableofFigures"/>
        <w:tabs>
          <w:tab w:val="right" w:leader="dot" w:pos="9016"/>
        </w:tabs>
        <w:rPr>
          <w:rFonts w:eastAsiaTheme="minorEastAsia"/>
          <w:noProof/>
          <w:lang w:eastAsia="en-GB"/>
        </w:rPr>
      </w:pPr>
      <w:hyperlink w:anchor="_Toc184403570" w:history="1">
        <w:r w:rsidRPr="00E23C93">
          <w:rPr>
            <w:rStyle w:val="Hyperlink"/>
            <w:noProof/>
            <w:lang w:val="en-US"/>
          </w:rPr>
          <w:t>Figure 4.16: Levelized cost of e-fuel with additional solid oxide electrolyzer</w:t>
        </w:r>
        <w:r>
          <w:rPr>
            <w:noProof/>
            <w:webHidden/>
          </w:rPr>
          <w:tab/>
        </w:r>
        <w:r>
          <w:rPr>
            <w:noProof/>
            <w:webHidden/>
          </w:rPr>
          <w:fldChar w:fldCharType="begin"/>
        </w:r>
        <w:r>
          <w:rPr>
            <w:noProof/>
            <w:webHidden/>
          </w:rPr>
          <w:instrText xml:space="preserve"> PAGEREF _Toc184403570 \h </w:instrText>
        </w:r>
        <w:r>
          <w:rPr>
            <w:noProof/>
            <w:webHidden/>
          </w:rPr>
        </w:r>
        <w:r>
          <w:rPr>
            <w:noProof/>
            <w:webHidden/>
          </w:rPr>
          <w:fldChar w:fldCharType="separate"/>
        </w:r>
        <w:r>
          <w:rPr>
            <w:noProof/>
            <w:webHidden/>
          </w:rPr>
          <w:t>69</w:t>
        </w:r>
        <w:r>
          <w:rPr>
            <w:noProof/>
            <w:webHidden/>
          </w:rPr>
          <w:fldChar w:fldCharType="end"/>
        </w:r>
      </w:hyperlink>
    </w:p>
    <w:p w14:paraId="72B1EC6C" w14:textId="72FAA4EE" w:rsidR="008A2576" w:rsidRDefault="008A2576">
      <w:pPr>
        <w:pStyle w:val="TableofFigures"/>
        <w:tabs>
          <w:tab w:val="right" w:leader="dot" w:pos="9016"/>
        </w:tabs>
        <w:rPr>
          <w:rFonts w:eastAsiaTheme="minorEastAsia"/>
          <w:noProof/>
          <w:lang w:eastAsia="en-GB"/>
        </w:rPr>
      </w:pPr>
      <w:hyperlink w:anchor="_Toc184403571" w:history="1">
        <w:r w:rsidRPr="00E23C93">
          <w:rPr>
            <w:rStyle w:val="Hyperlink"/>
            <w:noProof/>
            <w:lang w:val="en-US"/>
          </w:rPr>
          <w:t>Figure 4.17: Levelized cost of e-fuel with additional solid oxide electrolyzer and lifetime of all SOE technologies extended to 20 years</w:t>
        </w:r>
        <w:r>
          <w:rPr>
            <w:noProof/>
            <w:webHidden/>
          </w:rPr>
          <w:tab/>
        </w:r>
        <w:r>
          <w:rPr>
            <w:noProof/>
            <w:webHidden/>
          </w:rPr>
          <w:fldChar w:fldCharType="begin"/>
        </w:r>
        <w:r>
          <w:rPr>
            <w:noProof/>
            <w:webHidden/>
          </w:rPr>
          <w:instrText xml:space="preserve"> PAGEREF _Toc184403571 \h </w:instrText>
        </w:r>
        <w:r>
          <w:rPr>
            <w:noProof/>
            <w:webHidden/>
          </w:rPr>
        </w:r>
        <w:r>
          <w:rPr>
            <w:noProof/>
            <w:webHidden/>
          </w:rPr>
          <w:fldChar w:fldCharType="separate"/>
        </w:r>
        <w:r>
          <w:rPr>
            <w:noProof/>
            <w:webHidden/>
          </w:rPr>
          <w:t>70</w:t>
        </w:r>
        <w:r>
          <w:rPr>
            <w:noProof/>
            <w:webHidden/>
          </w:rPr>
          <w:fldChar w:fldCharType="end"/>
        </w:r>
      </w:hyperlink>
    </w:p>
    <w:p w14:paraId="2EC7DDA7" w14:textId="20CEE1D4" w:rsidR="008A2576" w:rsidRDefault="008A2576">
      <w:pPr>
        <w:pStyle w:val="TableofFigures"/>
        <w:tabs>
          <w:tab w:val="right" w:leader="dot" w:pos="9016"/>
        </w:tabs>
        <w:rPr>
          <w:rFonts w:eastAsiaTheme="minorEastAsia"/>
          <w:noProof/>
          <w:lang w:eastAsia="en-GB"/>
        </w:rPr>
      </w:pPr>
      <w:hyperlink w:anchor="_Toc184403572" w:history="1">
        <w:r w:rsidRPr="00E23C93">
          <w:rPr>
            <w:rStyle w:val="Hyperlink"/>
            <w:noProof/>
            <w:lang w:val="en-US"/>
          </w:rPr>
          <w:t>Figure 8.1: Key search terms and corresponding synonyms</w:t>
        </w:r>
        <w:r>
          <w:rPr>
            <w:noProof/>
            <w:webHidden/>
          </w:rPr>
          <w:tab/>
        </w:r>
        <w:r>
          <w:rPr>
            <w:noProof/>
            <w:webHidden/>
          </w:rPr>
          <w:fldChar w:fldCharType="begin"/>
        </w:r>
        <w:r>
          <w:rPr>
            <w:noProof/>
            <w:webHidden/>
          </w:rPr>
          <w:instrText xml:space="preserve"> PAGEREF _Toc184403572 \h </w:instrText>
        </w:r>
        <w:r>
          <w:rPr>
            <w:noProof/>
            <w:webHidden/>
          </w:rPr>
        </w:r>
        <w:r>
          <w:rPr>
            <w:noProof/>
            <w:webHidden/>
          </w:rPr>
          <w:fldChar w:fldCharType="separate"/>
        </w:r>
        <w:r>
          <w:rPr>
            <w:noProof/>
            <w:webHidden/>
          </w:rPr>
          <w:t>94</w:t>
        </w:r>
        <w:r>
          <w:rPr>
            <w:noProof/>
            <w:webHidden/>
          </w:rPr>
          <w:fldChar w:fldCharType="end"/>
        </w:r>
      </w:hyperlink>
    </w:p>
    <w:p w14:paraId="448F113B" w14:textId="1EF1EB30" w:rsidR="008A2576" w:rsidRDefault="008A2576">
      <w:pPr>
        <w:pStyle w:val="TableofFigures"/>
        <w:tabs>
          <w:tab w:val="right" w:leader="dot" w:pos="9016"/>
        </w:tabs>
        <w:rPr>
          <w:rFonts w:eastAsiaTheme="minorEastAsia"/>
          <w:noProof/>
          <w:lang w:eastAsia="en-GB"/>
        </w:rPr>
      </w:pPr>
      <w:hyperlink w:anchor="_Toc184403573" w:history="1">
        <w:r w:rsidRPr="00E23C93">
          <w:rPr>
            <w:rStyle w:val="Hyperlink"/>
            <w:noProof/>
            <w:lang w:val="en-US"/>
          </w:rPr>
          <w:t>Figure 8.2: Normalized cost breakdown for PEM + RWGS + FT synthesis with DAC CO₂ in 2024, 2035 and 2050. Costs include CAPEX (dark) and OPEX (light) for Electrolysis (blue), CO₂ (orange) and fuel synthesis (green).</w:t>
        </w:r>
        <w:r>
          <w:rPr>
            <w:noProof/>
            <w:webHidden/>
          </w:rPr>
          <w:tab/>
        </w:r>
        <w:r>
          <w:rPr>
            <w:noProof/>
            <w:webHidden/>
          </w:rPr>
          <w:fldChar w:fldCharType="begin"/>
        </w:r>
        <w:r>
          <w:rPr>
            <w:noProof/>
            <w:webHidden/>
          </w:rPr>
          <w:instrText xml:space="preserve"> PAGEREF _Toc184403573 \h </w:instrText>
        </w:r>
        <w:r>
          <w:rPr>
            <w:noProof/>
            <w:webHidden/>
          </w:rPr>
        </w:r>
        <w:r>
          <w:rPr>
            <w:noProof/>
            <w:webHidden/>
          </w:rPr>
          <w:fldChar w:fldCharType="separate"/>
        </w:r>
        <w:r>
          <w:rPr>
            <w:noProof/>
            <w:webHidden/>
          </w:rPr>
          <w:t>105</w:t>
        </w:r>
        <w:r>
          <w:rPr>
            <w:noProof/>
            <w:webHidden/>
          </w:rPr>
          <w:fldChar w:fldCharType="end"/>
        </w:r>
      </w:hyperlink>
    </w:p>
    <w:p w14:paraId="3F94DBCD" w14:textId="463AE056" w:rsidR="008A2576" w:rsidRDefault="008A2576">
      <w:pPr>
        <w:pStyle w:val="TableofFigures"/>
        <w:tabs>
          <w:tab w:val="right" w:leader="dot" w:pos="9016"/>
        </w:tabs>
        <w:rPr>
          <w:rFonts w:eastAsiaTheme="minorEastAsia"/>
          <w:noProof/>
          <w:lang w:eastAsia="en-GB"/>
        </w:rPr>
      </w:pPr>
      <w:hyperlink w:anchor="_Toc184403574" w:history="1">
        <w:r w:rsidRPr="00E23C93">
          <w:rPr>
            <w:rStyle w:val="Hyperlink"/>
            <w:noProof/>
            <w:lang w:val="en-US"/>
          </w:rPr>
          <w:t>Figure 8.3: Normalized cost breakdown for Sunfire SOE + FT synthesis with DAC CO₂ in 2024, 2035 and 2050. Costs include CAPEX (dark) and OPEX (light) for Electrolysis (blue), CO₂ (orange) and fuel synthesis (green).</w:t>
        </w:r>
        <w:r>
          <w:rPr>
            <w:noProof/>
            <w:webHidden/>
          </w:rPr>
          <w:tab/>
        </w:r>
        <w:r>
          <w:rPr>
            <w:noProof/>
            <w:webHidden/>
          </w:rPr>
          <w:fldChar w:fldCharType="begin"/>
        </w:r>
        <w:r>
          <w:rPr>
            <w:noProof/>
            <w:webHidden/>
          </w:rPr>
          <w:instrText xml:space="preserve"> PAGEREF _Toc184403574 \h </w:instrText>
        </w:r>
        <w:r>
          <w:rPr>
            <w:noProof/>
            <w:webHidden/>
          </w:rPr>
        </w:r>
        <w:r>
          <w:rPr>
            <w:noProof/>
            <w:webHidden/>
          </w:rPr>
          <w:fldChar w:fldCharType="separate"/>
        </w:r>
        <w:r>
          <w:rPr>
            <w:noProof/>
            <w:webHidden/>
          </w:rPr>
          <w:t>105</w:t>
        </w:r>
        <w:r>
          <w:rPr>
            <w:noProof/>
            <w:webHidden/>
          </w:rPr>
          <w:fldChar w:fldCharType="end"/>
        </w:r>
      </w:hyperlink>
    </w:p>
    <w:p w14:paraId="4CC1195E" w14:textId="4CDEDFE7" w:rsidR="008A2576" w:rsidRDefault="008A2576">
      <w:pPr>
        <w:pStyle w:val="TableofFigures"/>
        <w:tabs>
          <w:tab w:val="right" w:leader="dot" w:pos="9016"/>
        </w:tabs>
        <w:rPr>
          <w:rFonts w:eastAsiaTheme="minorEastAsia"/>
          <w:noProof/>
          <w:lang w:eastAsia="en-GB"/>
        </w:rPr>
      </w:pPr>
      <w:hyperlink w:anchor="_Toc184403575" w:history="1">
        <w:r w:rsidRPr="00E23C93">
          <w:rPr>
            <w:rStyle w:val="Hyperlink"/>
            <w:noProof/>
            <w:lang w:val="en-US"/>
          </w:rPr>
          <w:t>Figure 8.4: Normalized cost breakdown for PEM + RWGS + FT synthesis with Biogenic CO₂ in 2024, 2035 and 2050. Costs include CAPEX (dark) and OPEX (light) for Electrolysis (blue), CO₂ (orange) and fuel synthesis (green).</w:t>
        </w:r>
        <w:r>
          <w:rPr>
            <w:noProof/>
            <w:webHidden/>
          </w:rPr>
          <w:tab/>
        </w:r>
        <w:r>
          <w:rPr>
            <w:noProof/>
            <w:webHidden/>
          </w:rPr>
          <w:fldChar w:fldCharType="begin"/>
        </w:r>
        <w:r>
          <w:rPr>
            <w:noProof/>
            <w:webHidden/>
          </w:rPr>
          <w:instrText xml:space="preserve"> PAGEREF _Toc184403575 \h </w:instrText>
        </w:r>
        <w:r>
          <w:rPr>
            <w:noProof/>
            <w:webHidden/>
          </w:rPr>
        </w:r>
        <w:r>
          <w:rPr>
            <w:noProof/>
            <w:webHidden/>
          </w:rPr>
          <w:fldChar w:fldCharType="separate"/>
        </w:r>
        <w:r>
          <w:rPr>
            <w:noProof/>
            <w:webHidden/>
          </w:rPr>
          <w:t>106</w:t>
        </w:r>
        <w:r>
          <w:rPr>
            <w:noProof/>
            <w:webHidden/>
          </w:rPr>
          <w:fldChar w:fldCharType="end"/>
        </w:r>
      </w:hyperlink>
    </w:p>
    <w:p w14:paraId="26F71972" w14:textId="28F08AE4" w:rsidR="008A2576" w:rsidRDefault="008A2576">
      <w:pPr>
        <w:pStyle w:val="TableofFigures"/>
        <w:tabs>
          <w:tab w:val="right" w:leader="dot" w:pos="9016"/>
        </w:tabs>
        <w:rPr>
          <w:rFonts w:eastAsiaTheme="minorEastAsia"/>
          <w:noProof/>
          <w:lang w:eastAsia="en-GB"/>
        </w:rPr>
      </w:pPr>
      <w:hyperlink w:anchor="_Toc184403576" w:history="1">
        <w:r w:rsidRPr="00E23C93">
          <w:rPr>
            <w:rStyle w:val="Hyperlink"/>
            <w:noProof/>
            <w:lang w:val="en-US"/>
          </w:rPr>
          <w:t>Figure 8.5: Normalized cost breakdown for Sunfire SOE + FT synthesis with Biogenic CO₂ in 2024, 2035 and 2050. Costs include CAPEX (dark) and OPEX (light) for Electrolysis (blue), CO₂ (orange) and fuel synthesis (green).</w:t>
        </w:r>
        <w:r>
          <w:rPr>
            <w:noProof/>
            <w:webHidden/>
          </w:rPr>
          <w:tab/>
        </w:r>
        <w:r>
          <w:rPr>
            <w:noProof/>
            <w:webHidden/>
          </w:rPr>
          <w:fldChar w:fldCharType="begin"/>
        </w:r>
        <w:r>
          <w:rPr>
            <w:noProof/>
            <w:webHidden/>
          </w:rPr>
          <w:instrText xml:space="preserve"> PAGEREF _Toc184403576 \h </w:instrText>
        </w:r>
        <w:r>
          <w:rPr>
            <w:noProof/>
            <w:webHidden/>
          </w:rPr>
        </w:r>
        <w:r>
          <w:rPr>
            <w:noProof/>
            <w:webHidden/>
          </w:rPr>
          <w:fldChar w:fldCharType="separate"/>
        </w:r>
        <w:r>
          <w:rPr>
            <w:noProof/>
            <w:webHidden/>
          </w:rPr>
          <w:t>106</w:t>
        </w:r>
        <w:r>
          <w:rPr>
            <w:noProof/>
            <w:webHidden/>
          </w:rPr>
          <w:fldChar w:fldCharType="end"/>
        </w:r>
      </w:hyperlink>
    </w:p>
    <w:p w14:paraId="7097EC46" w14:textId="2F8D6385" w:rsidR="008A2576" w:rsidRDefault="008A2576">
      <w:pPr>
        <w:pStyle w:val="TableofFigures"/>
        <w:tabs>
          <w:tab w:val="right" w:leader="dot" w:pos="9016"/>
        </w:tabs>
        <w:rPr>
          <w:rFonts w:eastAsiaTheme="minorEastAsia"/>
          <w:noProof/>
          <w:lang w:eastAsia="en-GB"/>
        </w:rPr>
      </w:pPr>
      <w:hyperlink w:anchor="_Toc184403577" w:history="1">
        <w:r w:rsidRPr="00E23C93">
          <w:rPr>
            <w:rStyle w:val="Hyperlink"/>
            <w:noProof/>
            <w:lang w:val="en-US"/>
          </w:rPr>
          <w:t>Figure 8.6: CO₂ cost comparison for thermal energy case with MWhel = €60,00 and MWhth = €10,00</w:t>
        </w:r>
        <w:r>
          <w:rPr>
            <w:noProof/>
            <w:webHidden/>
          </w:rPr>
          <w:tab/>
        </w:r>
        <w:r>
          <w:rPr>
            <w:noProof/>
            <w:webHidden/>
          </w:rPr>
          <w:fldChar w:fldCharType="begin"/>
        </w:r>
        <w:r>
          <w:rPr>
            <w:noProof/>
            <w:webHidden/>
          </w:rPr>
          <w:instrText xml:space="preserve"> PAGEREF _Toc184403577 \h </w:instrText>
        </w:r>
        <w:r>
          <w:rPr>
            <w:noProof/>
            <w:webHidden/>
          </w:rPr>
        </w:r>
        <w:r>
          <w:rPr>
            <w:noProof/>
            <w:webHidden/>
          </w:rPr>
          <w:fldChar w:fldCharType="separate"/>
        </w:r>
        <w:r>
          <w:rPr>
            <w:noProof/>
            <w:webHidden/>
          </w:rPr>
          <w:t>107</w:t>
        </w:r>
        <w:r>
          <w:rPr>
            <w:noProof/>
            <w:webHidden/>
          </w:rPr>
          <w:fldChar w:fldCharType="end"/>
        </w:r>
      </w:hyperlink>
    </w:p>
    <w:p w14:paraId="0F502CAC" w14:textId="50A4C730" w:rsidR="008A2576" w:rsidRDefault="008A2576">
      <w:pPr>
        <w:pStyle w:val="TableofFigures"/>
        <w:tabs>
          <w:tab w:val="right" w:leader="dot" w:pos="9016"/>
        </w:tabs>
        <w:rPr>
          <w:rFonts w:eastAsiaTheme="minorEastAsia"/>
          <w:noProof/>
          <w:lang w:eastAsia="en-GB"/>
        </w:rPr>
      </w:pPr>
      <w:hyperlink w:anchor="_Toc184403578" w:history="1">
        <w:r w:rsidRPr="00E23C93">
          <w:rPr>
            <w:rStyle w:val="Hyperlink"/>
            <w:noProof/>
            <w:lang w:val="en-US"/>
          </w:rPr>
          <w:t>Figure 8.7: CO₂ cost comparison for higher bound electricity case with MWhel = €80,00 and MWhth = €00,00</w:t>
        </w:r>
        <w:r>
          <w:rPr>
            <w:noProof/>
            <w:webHidden/>
          </w:rPr>
          <w:tab/>
        </w:r>
        <w:r>
          <w:rPr>
            <w:noProof/>
            <w:webHidden/>
          </w:rPr>
          <w:fldChar w:fldCharType="begin"/>
        </w:r>
        <w:r>
          <w:rPr>
            <w:noProof/>
            <w:webHidden/>
          </w:rPr>
          <w:instrText xml:space="preserve"> PAGEREF _Toc184403578 \h </w:instrText>
        </w:r>
        <w:r>
          <w:rPr>
            <w:noProof/>
            <w:webHidden/>
          </w:rPr>
        </w:r>
        <w:r>
          <w:rPr>
            <w:noProof/>
            <w:webHidden/>
          </w:rPr>
          <w:fldChar w:fldCharType="separate"/>
        </w:r>
        <w:r>
          <w:rPr>
            <w:noProof/>
            <w:webHidden/>
          </w:rPr>
          <w:t>107</w:t>
        </w:r>
        <w:r>
          <w:rPr>
            <w:noProof/>
            <w:webHidden/>
          </w:rPr>
          <w:fldChar w:fldCharType="end"/>
        </w:r>
      </w:hyperlink>
    </w:p>
    <w:p w14:paraId="11CE83E6" w14:textId="22B0A41D" w:rsidR="008A2576" w:rsidRDefault="008A2576">
      <w:pPr>
        <w:pStyle w:val="TableofFigures"/>
        <w:tabs>
          <w:tab w:val="right" w:leader="dot" w:pos="9016"/>
        </w:tabs>
        <w:rPr>
          <w:rFonts w:eastAsiaTheme="minorEastAsia"/>
          <w:noProof/>
          <w:lang w:eastAsia="en-GB"/>
        </w:rPr>
      </w:pPr>
      <w:hyperlink w:anchor="_Toc184403579" w:history="1">
        <w:r w:rsidRPr="00E23C93">
          <w:rPr>
            <w:rStyle w:val="Hyperlink"/>
            <w:noProof/>
            <w:lang w:val="en-US"/>
          </w:rPr>
          <w:t>Figure 8.8: CO₂ cost comparison for lower bound electricity case with MWhel = €40,00 and MWhth = €00,00</w:t>
        </w:r>
        <w:r>
          <w:rPr>
            <w:noProof/>
            <w:webHidden/>
          </w:rPr>
          <w:tab/>
        </w:r>
        <w:r>
          <w:rPr>
            <w:noProof/>
            <w:webHidden/>
          </w:rPr>
          <w:fldChar w:fldCharType="begin"/>
        </w:r>
        <w:r>
          <w:rPr>
            <w:noProof/>
            <w:webHidden/>
          </w:rPr>
          <w:instrText xml:space="preserve"> PAGEREF _Toc184403579 \h </w:instrText>
        </w:r>
        <w:r>
          <w:rPr>
            <w:noProof/>
            <w:webHidden/>
          </w:rPr>
        </w:r>
        <w:r>
          <w:rPr>
            <w:noProof/>
            <w:webHidden/>
          </w:rPr>
          <w:fldChar w:fldCharType="separate"/>
        </w:r>
        <w:r>
          <w:rPr>
            <w:noProof/>
            <w:webHidden/>
          </w:rPr>
          <w:t>107</w:t>
        </w:r>
        <w:r>
          <w:rPr>
            <w:noProof/>
            <w:webHidden/>
          </w:rPr>
          <w:fldChar w:fldCharType="end"/>
        </w:r>
      </w:hyperlink>
    </w:p>
    <w:p w14:paraId="3AA6D7FC" w14:textId="4B1E299F" w:rsidR="008A2576" w:rsidRDefault="008A2576">
      <w:pPr>
        <w:pStyle w:val="TableofFigures"/>
        <w:tabs>
          <w:tab w:val="right" w:leader="dot" w:pos="9016"/>
        </w:tabs>
        <w:rPr>
          <w:rFonts w:eastAsiaTheme="minorEastAsia"/>
          <w:noProof/>
          <w:lang w:eastAsia="en-GB"/>
        </w:rPr>
      </w:pPr>
      <w:hyperlink w:anchor="_Toc184403580" w:history="1">
        <w:r w:rsidRPr="00E23C93">
          <w:rPr>
            <w:rStyle w:val="Hyperlink"/>
            <w:noProof/>
            <w:lang w:val="en-US"/>
          </w:rPr>
          <w:t>Figure 8.9: CO₂ cost comparison for EU ETS sensitivity analysis: upper bound</w:t>
        </w:r>
        <w:r>
          <w:rPr>
            <w:noProof/>
            <w:webHidden/>
          </w:rPr>
          <w:tab/>
        </w:r>
        <w:r>
          <w:rPr>
            <w:noProof/>
            <w:webHidden/>
          </w:rPr>
          <w:fldChar w:fldCharType="begin"/>
        </w:r>
        <w:r>
          <w:rPr>
            <w:noProof/>
            <w:webHidden/>
          </w:rPr>
          <w:instrText xml:space="preserve"> PAGEREF _Toc184403580 \h </w:instrText>
        </w:r>
        <w:r>
          <w:rPr>
            <w:noProof/>
            <w:webHidden/>
          </w:rPr>
        </w:r>
        <w:r>
          <w:rPr>
            <w:noProof/>
            <w:webHidden/>
          </w:rPr>
          <w:fldChar w:fldCharType="separate"/>
        </w:r>
        <w:r>
          <w:rPr>
            <w:noProof/>
            <w:webHidden/>
          </w:rPr>
          <w:t>108</w:t>
        </w:r>
        <w:r>
          <w:rPr>
            <w:noProof/>
            <w:webHidden/>
          </w:rPr>
          <w:fldChar w:fldCharType="end"/>
        </w:r>
      </w:hyperlink>
    </w:p>
    <w:p w14:paraId="2DB8B8B0" w14:textId="4BC15780" w:rsidR="008A2576" w:rsidRDefault="008A2576">
      <w:pPr>
        <w:pStyle w:val="TableofFigures"/>
        <w:tabs>
          <w:tab w:val="right" w:leader="dot" w:pos="9016"/>
        </w:tabs>
        <w:rPr>
          <w:rFonts w:eastAsiaTheme="minorEastAsia"/>
          <w:noProof/>
          <w:lang w:eastAsia="en-GB"/>
        </w:rPr>
      </w:pPr>
      <w:hyperlink w:anchor="_Toc184403581" w:history="1">
        <w:r w:rsidRPr="00E23C93">
          <w:rPr>
            <w:rStyle w:val="Hyperlink"/>
            <w:noProof/>
            <w:lang w:val="en-US"/>
          </w:rPr>
          <w:t>Figure 8.10: CO₂ cost comparison for EU ETS sensitivity analysis: lower bound</w:t>
        </w:r>
        <w:r>
          <w:rPr>
            <w:noProof/>
            <w:webHidden/>
          </w:rPr>
          <w:tab/>
        </w:r>
        <w:r>
          <w:rPr>
            <w:noProof/>
            <w:webHidden/>
          </w:rPr>
          <w:fldChar w:fldCharType="begin"/>
        </w:r>
        <w:r>
          <w:rPr>
            <w:noProof/>
            <w:webHidden/>
          </w:rPr>
          <w:instrText xml:space="preserve"> PAGEREF _Toc184403581 \h </w:instrText>
        </w:r>
        <w:r>
          <w:rPr>
            <w:noProof/>
            <w:webHidden/>
          </w:rPr>
        </w:r>
        <w:r>
          <w:rPr>
            <w:noProof/>
            <w:webHidden/>
          </w:rPr>
          <w:fldChar w:fldCharType="separate"/>
        </w:r>
        <w:r>
          <w:rPr>
            <w:noProof/>
            <w:webHidden/>
          </w:rPr>
          <w:t>108</w:t>
        </w:r>
        <w:r>
          <w:rPr>
            <w:noProof/>
            <w:webHidden/>
          </w:rPr>
          <w:fldChar w:fldCharType="end"/>
        </w:r>
      </w:hyperlink>
    </w:p>
    <w:p w14:paraId="2291FF1F" w14:textId="5A056EBB" w:rsidR="008A2576" w:rsidRDefault="008A2576">
      <w:pPr>
        <w:pStyle w:val="TableofFigures"/>
        <w:tabs>
          <w:tab w:val="right" w:leader="dot" w:pos="9016"/>
        </w:tabs>
        <w:rPr>
          <w:rFonts w:eastAsiaTheme="minorEastAsia"/>
          <w:noProof/>
          <w:lang w:eastAsia="en-GB"/>
        </w:rPr>
      </w:pPr>
      <w:hyperlink w:anchor="_Toc184403582" w:history="1">
        <w:r w:rsidRPr="00E23C93">
          <w:rPr>
            <w:rStyle w:val="Hyperlink"/>
            <w:noProof/>
            <w:lang w:val="en-US"/>
          </w:rPr>
          <w:t>Figure 8.11: CO₂ cost comparison for intermittent electricity supply: 4000 operational hours</w:t>
        </w:r>
        <w:r>
          <w:rPr>
            <w:noProof/>
            <w:webHidden/>
          </w:rPr>
          <w:tab/>
        </w:r>
        <w:r>
          <w:rPr>
            <w:noProof/>
            <w:webHidden/>
          </w:rPr>
          <w:fldChar w:fldCharType="begin"/>
        </w:r>
        <w:r>
          <w:rPr>
            <w:noProof/>
            <w:webHidden/>
          </w:rPr>
          <w:instrText xml:space="preserve"> PAGEREF _Toc184403582 \h </w:instrText>
        </w:r>
        <w:r>
          <w:rPr>
            <w:noProof/>
            <w:webHidden/>
          </w:rPr>
        </w:r>
        <w:r>
          <w:rPr>
            <w:noProof/>
            <w:webHidden/>
          </w:rPr>
          <w:fldChar w:fldCharType="separate"/>
        </w:r>
        <w:r>
          <w:rPr>
            <w:noProof/>
            <w:webHidden/>
          </w:rPr>
          <w:t>108</w:t>
        </w:r>
        <w:r>
          <w:rPr>
            <w:noProof/>
            <w:webHidden/>
          </w:rPr>
          <w:fldChar w:fldCharType="end"/>
        </w:r>
      </w:hyperlink>
    </w:p>
    <w:p w14:paraId="29A15540" w14:textId="55F5112A" w:rsidR="00392D36" w:rsidRPr="00670221" w:rsidRDefault="00392D36" w:rsidP="00392D36">
      <w:pPr>
        <w:pStyle w:val="Heading1"/>
        <w:numPr>
          <w:ilvl w:val="0"/>
          <w:numId w:val="0"/>
        </w:numPr>
        <w:jc w:val="both"/>
        <w:rPr>
          <w:rFonts w:eastAsiaTheme="minorHAnsi"/>
        </w:rPr>
      </w:pPr>
      <w:r w:rsidRPr="00670221">
        <w:rPr>
          <w:rFonts w:eastAsiaTheme="minorHAnsi"/>
        </w:rPr>
        <w:fldChar w:fldCharType="end"/>
      </w:r>
    </w:p>
    <w:p w14:paraId="2D504D85" w14:textId="77777777" w:rsidR="00392D36" w:rsidRPr="00670221" w:rsidRDefault="00392D36" w:rsidP="00392D36">
      <w:pPr>
        <w:spacing w:before="0" w:after="0"/>
        <w:jc w:val="left"/>
        <w:rPr>
          <w:rFonts w:asciiTheme="majorHAnsi" w:hAnsiTheme="majorHAnsi" w:cstheme="majorBidi"/>
          <w:color w:val="000000" w:themeColor="text1"/>
          <w:sz w:val="96"/>
          <w:szCs w:val="32"/>
          <w:lang w:val="en-US"/>
        </w:rPr>
      </w:pPr>
      <w:r w:rsidRPr="00670221">
        <w:rPr>
          <w:lang w:val="en-US"/>
        </w:rPr>
        <w:br w:type="page"/>
      </w:r>
    </w:p>
    <w:p w14:paraId="4E9E8ACA" w14:textId="77777777" w:rsidR="008A2576" w:rsidRDefault="00392D36" w:rsidP="00392D36">
      <w:pPr>
        <w:jc w:val="right"/>
        <w:rPr>
          <w:noProof/>
        </w:rPr>
      </w:pPr>
      <w:r w:rsidRPr="00670221">
        <w:rPr>
          <w:rFonts w:asciiTheme="majorHAnsi" w:hAnsiTheme="majorHAnsi" w:cstheme="majorHAnsi"/>
          <w:sz w:val="96"/>
          <w:szCs w:val="96"/>
          <w:lang w:val="en-US"/>
        </w:rPr>
        <w:lastRenderedPageBreak/>
        <w:t>List of Tables</w:t>
      </w:r>
      <w:r w:rsidRPr="00670221">
        <w:rPr>
          <w:rFonts w:asciiTheme="majorHAnsi" w:hAnsiTheme="majorHAnsi" w:cstheme="majorHAnsi"/>
          <w:sz w:val="96"/>
          <w:szCs w:val="96"/>
          <w:lang w:val="en-US"/>
        </w:rPr>
        <w:fldChar w:fldCharType="begin"/>
      </w:r>
      <w:r w:rsidRPr="00670221">
        <w:rPr>
          <w:rFonts w:asciiTheme="majorHAnsi" w:hAnsiTheme="majorHAnsi" w:cstheme="majorHAnsi"/>
          <w:sz w:val="96"/>
          <w:szCs w:val="96"/>
          <w:lang w:val="en-US"/>
        </w:rPr>
        <w:instrText xml:space="preserve"> TOC \h \z \c "Table" </w:instrText>
      </w:r>
      <w:r w:rsidRPr="00670221">
        <w:rPr>
          <w:rFonts w:asciiTheme="majorHAnsi" w:hAnsiTheme="majorHAnsi" w:cstheme="majorHAnsi"/>
          <w:sz w:val="96"/>
          <w:szCs w:val="96"/>
          <w:lang w:val="en-US"/>
        </w:rPr>
        <w:fldChar w:fldCharType="separate"/>
      </w:r>
    </w:p>
    <w:p w14:paraId="333F4498" w14:textId="45D51ABE" w:rsidR="008A2576" w:rsidRDefault="008A2576">
      <w:pPr>
        <w:pStyle w:val="TableofFigures"/>
        <w:tabs>
          <w:tab w:val="right" w:leader="dot" w:pos="9016"/>
        </w:tabs>
        <w:rPr>
          <w:rFonts w:eastAsiaTheme="minorEastAsia"/>
          <w:noProof/>
          <w:lang w:eastAsia="en-GB"/>
        </w:rPr>
      </w:pPr>
      <w:hyperlink w:anchor="_Toc184403583" w:history="1">
        <w:r w:rsidRPr="00F5527C">
          <w:rPr>
            <w:rStyle w:val="Hyperlink"/>
            <w:noProof/>
            <w:lang w:val="en-US"/>
          </w:rPr>
          <w:t>Table 3.1: Overview of the fuel cost share and operating profit margin of Europe's largest airlines (Grimme, 2023)</w:t>
        </w:r>
        <w:r>
          <w:rPr>
            <w:noProof/>
            <w:webHidden/>
          </w:rPr>
          <w:tab/>
        </w:r>
        <w:r>
          <w:rPr>
            <w:noProof/>
            <w:webHidden/>
          </w:rPr>
          <w:fldChar w:fldCharType="begin"/>
        </w:r>
        <w:r>
          <w:rPr>
            <w:noProof/>
            <w:webHidden/>
          </w:rPr>
          <w:instrText xml:space="preserve"> PAGEREF _Toc184403583 \h </w:instrText>
        </w:r>
        <w:r>
          <w:rPr>
            <w:noProof/>
            <w:webHidden/>
          </w:rPr>
        </w:r>
        <w:r>
          <w:rPr>
            <w:noProof/>
            <w:webHidden/>
          </w:rPr>
          <w:fldChar w:fldCharType="separate"/>
        </w:r>
        <w:r>
          <w:rPr>
            <w:noProof/>
            <w:webHidden/>
          </w:rPr>
          <w:t>32</w:t>
        </w:r>
        <w:r>
          <w:rPr>
            <w:noProof/>
            <w:webHidden/>
          </w:rPr>
          <w:fldChar w:fldCharType="end"/>
        </w:r>
      </w:hyperlink>
    </w:p>
    <w:p w14:paraId="1D375390" w14:textId="2A136A3F" w:rsidR="008A2576" w:rsidRDefault="008A2576">
      <w:pPr>
        <w:pStyle w:val="TableofFigures"/>
        <w:tabs>
          <w:tab w:val="right" w:leader="dot" w:pos="9016"/>
        </w:tabs>
        <w:rPr>
          <w:rFonts w:eastAsiaTheme="minorEastAsia"/>
          <w:noProof/>
          <w:lang w:eastAsia="en-GB"/>
        </w:rPr>
      </w:pPr>
      <w:hyperlink w:anchor="_Toc184403584" w:history="1">
        <w:r w:rsidRPr="00F5527C">
          <w:rPr>
            <w:rStyle w:val="Hyperlink"/>
            <w:noProof/>
            <w:lang w:val="en-US"/>
          </w:rPr>
          <w:t>Table 3.2: EU mandates regarding sustainable aviation fuel consumption (Council of the EU, 2023)</w:t>
        </w:r>
        <w:r>
          <w:rPr>
            <w:noProof/>
            <w:webHidden/>
          </w:rPr>
          <w:tab/>
        </w:r>
        <w:r>
          <w:rPr>
            <w:noProof/>
            <w:webHidden/>
          </w:rPr>
          <w:fldChar w:fldCharType="begin"/>
        </w:r>
        <w:r>
          <w:rPr>
            <w:noProof/>
            <w:webHidden/>
          </w:rPr>
          <w:instrText xml:space="preserve"> PAGEREF _Toc184403584 \h </w:instrText>
        </w:r>
        <w:r>
          <w:rPr>
            <w:noProof/>
            <w:webHidden/>
          </w:rPr>
        </w:r>
        <w:r>
          <w:rPr>
            <w:noProof/>
            <w:webHidden/>
          </w:rPr>
          <w:fldChar w:fldCharType="separate"/>
        </w:r>
        <w:r>
          <w:rPr>
            <w:noProof/>
            <w:webHidden/>
          </w:rPr>
          <w:t>36</w:t>
        </w:r>
        <w:r>
          <w:rPr>
            <w:noProof/>
            <w:webHidden/>
          </w:rPr>
          <w:fldChar w:fldCharType="end"/>
        </w:r>
      </w:hyperlink>
    </w:p>
    <w:p w14:paraId="6E8D74B4" w14:textId="4F7D9E15" w:rsidR="008A2576" w:rsidRDefault="008A2576">
      <w:pPr>
        <w:pStyle w:val="TableofFigures"/>
        <w:tabs>
          <w:tab w:val="right" w:leader="dot" w:pos="9016"/>
        </w:tabs>
        <w:rPr>
          <w:rFonts w:eastAsiaTheme="minorEastAsia"/>
          <w:noProof/>
          <w:lang w:eastAsia="en-GB"/>
        </w:rPr>
      </w:pPr>
      <w:hyperlink w:anchor="_Toc184403585" w:history="1">
        <w:r w:rsidRPr="00F5527C">
          <w:rPr>
            <w:rStyle w:val="Hyperlink"/>
            <w:noProof/>
            <w:lang w:val="en-US"/>
          </w:rPr>
          <w:t>Table 3.3: Color-coded scoring system scale</w:t>
        </w:r>
        <w:r>
          <w:rPr>
            <w:noProof/>
            <w:webHidden/>
          </w:rPr>
          <w:tab/>
        </w:r>
        <w:r>
          <w:rPr>
            <w:noProof/>
            <w:webHidden/>
          </w:rPr>
          <w:fldChar w:fldCharType="begin"/>
        </w:r>
        <w:r>
          <w:rPr>
            <w:noProof/>
            <w:webHidden/>
          </w:rPr>
          <w:instrText xml:space="preserve"> PAGEREF _Toc184403585 \h </w:instrText>
        </w:r>
        <w:r>
          <w:rPr>
            <w:noProof/>
            <w:webHidden/>
          </w:rPr>
        </w:r>
        <w:r>
          <w:rPr>
            <w:noProof/>
            <w:webHidden/>
          </w:rPr>
          <w:fldChar w:fldCharType="separate"/>
        </w:r>
        <w:r>
          <w:rPr>
            <w:noProof/>
            <w:webHidden/>
          </w:rPr>
          <w:t>41</w:t>
        </w:r>
        <w:r>
          <w:rPr>
            <w:noProof/>
            <w:webHidden/>
          </w:rPr>
          <w:fldChar w:fldCharType="end"/>
        </w:r>
      </w:hyperlink>
    </w:p>
    <w:p w14:paraId="43C322D7" w14:textId="14BB80EB" w:rsidR="008A2576" w:rsidRDefault="008A2576">
      <w:pPr>
        <w:pStyle w:val="TableofFigures"/>
        <w:tabs>
          <w:tab w:val="right" w:leader="dot" w:pos="9016"/>
        </w:tabs>
        <w:rPr>
          <w:rFonts w:eastAsiaTheme="minorEastAsia"/>
          <w:noProof/>
          <w:lang w:eastAsia="en-GB"/>
        </w:rPr>
      </w:pPr>
      <w:hyperlink w:anchor="_Toc184403586" w:history="1">
        <w:r w:rsidRPr="00F5527C">
          <w:rPr>
            <w:rStyle w:val="Hyperlink"/>
            <w:noProof/>
            <w:lang w:val="en-US"/>
          </w:rPr>
          <w:t>Table 3.4: Energy source scoring table</w:t>
        </w:r>
        <w:r>
          <w:rPr>
            <w:noProof/>
            <w:webHidden/>
          </w:rPr>
          <w:tab/>
        </w:r>
        <w:r>
          <w:rPr>
            <w:noProof/>
            <w:webHidden/>
          </w:rPr>
          <w:fldChar w:fldCharType="begin"/>
        </w:r>
        <w:r>
          <w:rPr>
            <w:noProof/>
            <w:webHidden/>
          </w:rPr>
          <w:instrText xml:space="preserve"> PAGEREF _Toc184403586 \h </w:instrText>
        </w:r>
        <w:r>
          <w:rPr>
            <w:noProof/>
            <w:webHidden/>
          </w:rPr>
        </w:r>
        <w:r>
          <w:rPr>
            <w:noProof/>
            <w:webHidden/>
          </w:rPr>
          <w:fldChar w:fldCharType="separate"/>
        </w:r>
        <w:r>
          <w:rPr>
            <w:noProof/>
            <w:webHidden/>
          </w:rPr>
          <w:t>43</w:t>
        </w:r>
        <w:r>
          <w:rPr>
            <w:noProof/>
            <w:webHidden/>
          </w:rPr>
          <w:fldChar w:fldCharType="end"/>
        </w:r>
      </w:hyperlink>
    </w:p>
    <w:p w14:paraId="301C58EA" w14:textId="24AB6D57" w:rsidR="008A2576" w:rsidRDefault="008A2576">
      <w:pPr>
        <w:pStyle w:val="TableofFigures"/>
        <w:tabs>
          <w:tab w:val="right" w:leader="dot" w:pos="9016"/>
        </w:tabs>
        <w:rPr>
          <w:rFonts w:eastAsiaTheme="minorEastAsia"/>
          <w:noProof/>
          <w:lang w:eastAsia="en-GB"/>
        </w:rPr>
      </w:pPr>
      <w:hyperlink w:anchor="_Toc184403587" w:history="1">
        <w:r w:rsidRPr="00F5527C">
          <w:rPr>
            <w:rStyle w:val="Hyperlink"/>
            <w:noProof/>
            <w:lang w:val="en-US"/>
          </w:rPr>
          <w:t>Table 3.5: Electrolysis technology scoring table</w:t>
        </w:r>
        <w:r>
          <w:rPr>
            <w:noProof/>
            <w:webHidden/>
          </w:rPr>
          <w:tab/>
        </w:r>
        <w:r>
          <w:rPr>
            <w:noProof/>
            <w:webHidden/>
          </w:rPr>
          <w:fldChar w:fldCharType="begin"/>
        </w:r>
        <w:r>
          <w:rPr>
            <w:noProof/>
            <w:webHidden/>
          </w:rPr>
          <w:instrText xml:space="preserve"> PAGEREF _Toc184403587 \h </w:instrText>
        </w:r>
        <w:r>
          <w:rPr>
            <w:noProof/>
            <w:webHidden/>
          </w:rPr>
        </w:r>
        <w:r>
          <w:rPr>
            <w:noProof/>
            <w:webHidden/>
          </w:rPr>
          <w:fldChar w:fldCharType="separate"/>
        </w:r>
        <w:r>
          <w:rPr>
            <w:noProof/>
            <w:webHidden/>
          </w:rPr>
          <w:t>43</w:t>
        </w:r>
        <w:r>
          <w:rPr>
            <w:noProof/>
            <w:webHidden/>
          </w:rPr>
          <w:fldChar w:fldCharType="end"/>
        </w:r>
      </w:hyperlink>
    </w:p>
    <w:p w14:paraId="4A8BD56F" w14:textId="2BC0723D" w:rsidR="008A2576" w:rsidRDefault="008A2576">
      <w:pPr>
        <w:pStyle w:val="TableofFigures"/>
        <w:tabs>
          <w:tab w:val="right" w:leader="dot" w:pos="9016"/>
        </w:tabs>
        <w:rPr>
          <w:rFonts w:eastAsiaTheme="minorEastAsia"/>
          <w:noProof/>
          <w:lang w:eastAsia="en-GB"/>
        </w:rPr>
      </w:pPr>
      <w:hyperlink w:anchor="_Toc184403588" w:history="1">
        <w:r w:rsidRPr="00F5527C">
          <w:rPr>
            <w:rStyle w:val="Hyperlink"/>
            <w:noProof/>
            <w:lang w:val="en-US"/>
          </w:rPr>
          <w:t>Table 3.6: Energy carrier scoring table</w:t>
        </w:r>
        <w:r>
          <w:rPr>
            <w:noProof/>
            <w:webHidden/>
          </w:rPr>
          <w:tab/>
        </w:r>
        <w:r>
          <w:rPr>
            <w:noProof/>
            <w:webHidden/>
          </w:rPr>
          <w:fldChar w:fldCharType="begin"/>
        </w:r>
        <w:r>
          <w:rPr>
            <w:noProof/>
            <w:webHidden/>
          </w:rPr>
          <w:instrText xml:space="preserve"> PAGEREF _Toc184403588 \h </w:instrText>
        </w:r>
        <w:r>
          <w:rPr>
            <w:noProof/>
            <w:webHidden/>
          </w:rPr>
        </w:r>
        <w:r>
          <w:rPr>
            <w:noProof/>
            <w:webHidden/>
          </w:rPr>
          <w:fldChar w:fldCharType="separate"/>
        </w:r>
        <w:r>
          <w:rPr>
            <w:noProof/>
            <w:webHidden/>
          </w:rPr>
          <w:t>44</w:t>
        </w:r>
        <w:r>
          <w:rPr>
            <w:noProof/>
            <w:webHidden/>
          </w:rPr>
          <w:fldChar w:fldCharType="end"/>
        </w:r>
      </w:hyperlink>
    </w:p>
    <w:p w14:paraId="7187E7A7" w14:textId="7D38FD1B" w:rsidR="008A2576" w:rsidRDefault="008A2576">
      <w:pPr>
        <w:pStyle w:val="TableofFigures"/>
        <w:tabs>
          <w:tab w:val="right" w:leader="dot" w:pos="9016"/>
        </w:tabs>
        <w:rPr>
          <w:rFonts w:eastAsiaTheme="minorEastAsia"/>
          <w:noProof/>
          <w:lang w:eastAsia="en-GB"/>
        </w:rPr>
      </w:pPr>
      <w:hyperlink w:anchor="_Toc184403589" w:history="1">
        <w:r w:rsidRPr="00F5527C">
          <w:rPr>
            <w:rStyle w:val="Hyperlink"/>
            <w:noProof/>
            <w:lang w:val="en-US"/>
          </w:rPr>
          <w:t>Table 3.7: Fuel synthesis scoring table</w:t>
        </w:r>
        <w:r>
          <w:rPr>
            <w:noProof/>
            <w:webHidden/>
          </w:rPr>
          <w:tab/>
        </w:r>
        <w:r>
          <w:rPr>
            <w:noProof/>
            <w:webHidden/>
          </w:rPr>
          <w:fldChar w:fldCharType="begin"/>
        </w:r>
        <w:r>
          <w:rPr>
            <w:noProof/>
            <w:webHidden/>
          </w:rPr>
          <w:instrText xml:space="preserve"> PAGEREF _Toc184403589 \h </w:instrText>
        </w:r>
        <w:r>
          <w:rPr>
            <w:noProof/>
            <w:webHidden/>
          </w:rPr>
        </w:r>
        <w:r>
          <w:rPr>
            <w:noProof/>
            <w:webHidden/>
          </w:rPr>
          <w:fldChar w:fldCharType="separate"/>
        </w:r>
        <w:r>
          <w:rPr>
            <w:noProof/>
            <w:webHidden/>
          </w:rPr>
          <w:t>45</w:t>
        </w:r>
        <w:r>
          <w:rPr>
            <w:noProof/>
            <w:webHidden/>
          </w:rPr>
          <w:fldChar w:fldCharType="end"/>
        </w:r>
      </w:hyperlink>
    </w:p>
    <w:p w14:paraId="05CED3D4" w14:textId="04AB0F70" w:rsidR="008A2576" w:rsidRDefault="008A2576">
      <w:pPr>
        <w:pStyle w:val="TableofFigures"/>
        <w:tabs>
          <w:tab w:val="right" w:leader="dot" w:pos="9016"/>
        </w:tabs>
        <w:rPr>
          <w:rFonts w:eastAsiaTheme="minorEastAsia"/>
          <w:noProof/>
          <w:lang w:eastAsia="en-GB"/>
        </w:rPr>
      </w:pPr>
      <w:hyperlink w:anchor="_Toc184403590" w:history="1">
        <w:r w:rsidRPr="00F5527C">
          <w:rPr>
            <w:rStyle w:val="Hyperlink"/>
            <w:noProof/>
            <w:lang w:val="en-US"/>
          </w:rPr>
          <w:t>Table 4.1: Overview of the minimal energy requirements for DAC supporting the assumptions for 2050</w:t>
        </w:r>
        <w:r>
          <w:rPr>
            <w:noProof/>
            <w:webHidden/>
          </w:rPr>
          <w:tab/>
        </w:r>
        <w:r>
          <w:rPr>
            <w:noProof/>
            <w:webHidden/>
          </w:rPr>
          <w:fldChar w:fldCharType="begin"/>
        </w:r>
        <w:r>
          <w:rPr>
            <w:noProof/>
            <w:webHidden/>
          </w:rPr>
          <w:instrText xml:space="preserve"> PAGEREF _Toc184403590 \h </w:instrText>
        </w:r>
        <w:r>
          <w:rPr>
            <w:noProof/>
            <w:webHidden/>
          </w:rPr>
        </w:r>
        <w:r>
          <w:rPr>
            <w:noProof/>
            <w:webHidden/>
          </w:rPr>
          <w:fldChar w:fldCharType="separate"/>
        </w:r>
        <w:r>
          <w:rPr>
            <w:noProof/>
            <w:webHidden/>
          </w:rPr>
          <w:t>49</w:t>
        </w:r>
        <w:r>
          <w:rPr>
            <w:noProof/>
            <w:webHidden/>
          </w:rPr>
          <w:fldChar w:fldCharType="end"/>
        </w:r>
      </w:hyperlink>
    </w:p>
    <w:p w14:paraId="6AA11D8A" w14:textId="544CD6D3" w:rsidR="008A2576" w:rsidRDefault="008A2576">
      <w:pPr>
        <w:pStyle w:val="TableofFigures"/>
        <w:tabs>
          <w:tab w:val="right" w:leader="dot" w:pos="9016"/>
        </w:tabs>
        <w:rPr>
          <w:rFonts w:eastAsiaTheme="minorEastAsia"/>
          <w:noProof/>
          <w:lang w:eastAsia="en-GB"/>
        </w:rPr>
      </w:pPr>
      <w:hyperlink w:anchor="_Toc184403591" w:history="1">
        <w:r w:rsidRPr="00F5527C">
          <w:rPr>
            <w:rStyle w:val="Hyperlink"/>
            <w:noProof/>
            <w:lang w:val="en-US"/>
          </w:rPr>
          <w:t>Table 4.2: Energy efficiencies for 2024</w:t>
        </w:r>
        <w:r>
          <w:rPr>
            <w:noProof/>
            <w:webHidden/>
          </w:rPr>
          <w:tab/>
        </w:r>
        <w:r>
          <w:rPr>
            <w:noProof/>
            <w:webHidden/>
          </w:rPr>
          <w:fldChar w:fldCharType="begin"/>
        </w:r>
        <w:r>
          <w:rPr>
            <w:noProof/>
            <w:webHidden/>
          </w:rPr>
          <w:instrText xml:space="preserve"> PAGEREF _Toc184403591 \h </w:instrText>
        </w:r>
        <w:r>
          <w:rPr>
            <w:noProof/>
            <w:webHidden/>
          </w:rPr>
        </w:r>
        <w:r>
          <w:rPr>
            <w:noProof/>
            <w:webHidden/>
          </w:rPr>
          <w:fldChar w:fldCharType="separate"/>
        </w:r>
        <w:r>
          <w:rPr>
            <w:noProof/>
            <w:webHidden/>
          </w:rPr>
          <w:t>51</w:t>
        </w:r>
        <w:r>
          <w:rPr>
            <w:noProof/>
            <w:webHidden/>
          </w:rPr>
          <w:fldChar w:fldCharType="end"/>
        </w:r>
      </w:hyperlink>
    </w:p>
    <w:p w14:paraId="41F739CF" w14:textId="737E607C" w:rsidR="008A2576" w:rsidRDefault="008A2576">
      <w:pPr>
        <w:pStyle w:val="TableofFigures"/>
        <w:tabs>
          <w:tab w:val="right" w:leader="dot" w:pos="9016"/>
        </w:tabs>
        <w:rPr>
          <w:rFonts w:eastAsiaTheme="minorEastAsia"/>
          <w:noProof/>
          <w:lang w:eastAsia="en-GB"/>
        </w:rPr>
      </w:pPr>
      <w:hyperlink w:anchor="_Toc184403592" w:history="1">
        <w:r w:rsidRPr="00F5527C">
          <w:rPr>
            <w:rStyle w:val="Hyperlink"/>
            <w:noProof/>
            <w:lang w:val="en-US"/>
          </w:rPr>
          <w:t>Table 4.3: Key assumptions regarding the cost of carbon</w:t>
        </w:r>
        <w:r>
          <w:rPr>
            <w:noProof/>
            <w:webHidden/>
          </w:rPr>
          <w:tab/>
        </w:r>
        <w:r>
          <w:rPr>
            <w:noProof/>
            <w:webHidden/>
          </w:rPr>
          <w:fldChar w:fldCharType="begin"/>
        </w:r>
        <w:r>
          <w:rPr>
            <w:noProof/>
            <w:webHidden/>
          </w:rPr>
          <w:instrText xml:space="preserve"> PAGEREF _Toc184403592 \h </w:instrText>
        </w:r>
        <w:r>
          <w:rPr>
            <w:noProof/>
            <w:webHidden/>
          </w:rPr>
        </w:r>
        <w:r>
          <w:rPr>
            <w:noProof/>
            <w:webHidden/>
          </w:rPr>
          <w:fldChar w:fldCharType="separate"/>
        </w:r>
        <w:r>
          <w:rPr>
            <w:noProof/>
            <w:webHidden/>
          </w:rPr>
          <w:t>53</w:t>
        </w:r>
        <w:r>
          <w:rPr>
            <w:noProof/>
            <w:webHidden/>
          </w:rPr>
          <w:fldChar w:fldCharType="end"/>
        </w:r>
      </w:hyperlink>
    </w:p>
    <w:p w14:paraId="44718BA5" w14:textId="1AB29E82" w:rsidR="008A2576" w:rsidRDefault="008A2576">
      <w:pPr>
        <w:pStyle w:val="TableofFigures"/>
        <w:tabs>
          <w:tab w:val="right" w:leader="dot" w:pos="9016"/>
        </w:tabs>
        <w:rPr>
          <w:rFonts w:eastAsiaTheme="minorEastAsia"/>
          <w:noProof/>
          <w:lang w:eastAsia="en-GB"/>
        </w:rPr>
      </w:pPr>
      <w:hyperlink w:anchor="_Toc184403593" w:history="1">
        <w:r w:rsidRPr="00F5527C">
          <w:rPr>
            <w:rStyle w:val="Hyperlink"/>
            <w:noProof/>
            <w:lang w:val="en-US"/>
          </w:rPr>
          <w:t>Table 4.4: Classification of alternative CO</w:t>
        </w:r>
        <w:r w:rsidRPr="00F5527C">
          <w:rPr>
            <w:rStyle w:val="Hyperlink"/>
            <w:noProof/>
            <w:vertAlign w:val="subscript"/>
            <w:lang w:val="en-US"/>
          </w:rPr>
          <w:t xml:space="preserve">2 </w:t>
        </w:r>
        <w:r w:rsidRPr="00F5527C">
          <w:rPr>
            <w:rStyle w:val="Hyperlink"/>
            <w:noProof/>
            <w:lang w:val="en-US"/>
          </w:rPr>
          <w:t>sources</w:t>
        </w:r>
        <w:r>
          <w:rPr>
            <w:noProof/>
            <w:webHidden/>
          </w:rPr>
          <w:tab/>
        </w:r>
        <w:r>
          <w:rPr>
            <w:noProof/>
            <w:webHidden/>
          </w:rPr>
          <w:fldChar w:fldCharType="begin"/>
        </w:r>
        <w:r>
          <w:rPr>
            <w:noProof/>
            <w:webHidden/>
          </w:rPr>
          <w:instrText xml:space="preserve"> PAGEREF _Toc184403593 \h </w:instrText>
        </w:r>
        <w:r>
          <w:rPr>
            <w:noProof/>
            <w:webHidden/>
          </w:rPr>
        </w:r>
        <w:r>
          <w:rPr>
            <w:noProof/>
            <w:webHidden/>
          </w:rPr>
          <w:fldChar w:fldCharType="separate"/>
        </w:r>
        <w:r>
          <w:rPr>
            <w:noProof/>
            <w:webHidden/>
          </w:rPr>
          <w:t>53</w:t>
        </w:r>
        <w:r>
          <w:rPr>
            <w:noProof/>
            <w:webHidden/>
          </w:rPr>
          <w:fldChar w:fldCharType="end"/>
        </w:r>
      </w:hyperlink>
    </w:p>
    <w:p w14:paraId="530723CA" w14:textId="20F7391F" w:rsidR="008A2576" w:rsidRDefault="008A2576">
      <w:pPr>
        <w:pStyle w:val="TableofFigures"/>
        <w:tabs>
          <w:tab w:val="right" w:leader="dot" w:pos="9016"/>
        </w:tabs>
        <w:rPr>
          <w:rFonts w:eastAsiaTheme="minorEastAsia"/>
          <w:noProof/>
          <w:lang w:eastAsia="en-GB"/>
        </w:rPr>
      </w:pPr>
      <w:hyperlink w:anchor="_Toc184403594" w:history="1">
        <w:r w:rsidRPr="00F5527C">
          <w:rPr>
            <w:rStyle w:val="Hyperlink"/>
            <w:noProof/>
            <w:lang w:val="en-US"/>
          </w:rPr>
          <w:t>Table 4.5: Carbon efficiency overview</w:t>
        </w:r>
        <w:r>
          <w:rPr>
            <w:noProof/>
            <w:webHidden/>
          </w:rPr>
          <w:tab/>
        </w:r>
        <w:r>
          <w:rPr>
            <w:noProof/>
            <w:webHidden/>
          </w:rPr>
          <w:fldChar w:fldCharType="begin"/>
        </w:r>
        <w:r>
          <w:rPr>
            <w:noProof/>
            <w:webHidden/>
          </w:rPr>
          <w:instrText xml:space="preserve"> PAGEREF _Toc184403594 \h </w:instrText>
        </w:r>
        <w:r>
          <w:rPr>
            <w:noProof/>
            <w:webHidden/>
          </w:rPr>
        </w:r>
        <w:r>
          <w:rPr>
            <w:noProof/>
            <w:webHidden/>
          </w:rPr>
          <w:fldChar w:fldCharType="separate"/>
        </w:r>
        <w:r>
          <w:rPr>
            <w:noProof/>
            <w:webHidden/>
          </w:rPr>
          <w:t>55</w:t>
        </w:r>
        <w:r>
          <w:rPr>
            <w:noProof/>
            <w:webHidden/>
          </w:rPr>
          <w:fldChar w:fldCharType="end"/>
        </w:r>
      </w:hyperlink>
    </w:p>
    <w:p w14:paraId="53F4D6F8" w14:textId="0924BEA7" w:rsidR="008A2576" w:rsidRDefault="008A2576">
      <w:pPr>
        <w:pStyle w:val="TableofFigures"/>
        <w:tabs>
          <w:tab w:val="right" w:leader="dot" w:pos="9016"/>
        </w:tabs>
        <w:rPr>
          <w:rFonts w:eastAsiaTheme="minorEastAsia"/>
          <w:noProof/>
          <w:lang w:eastAsia="en-GB"/>
        </w:rPr>
      </w:pPr>
      <w:hyperlink w:anchor="_Toc184403595" w:history="1">
        <w:r w:rsidRPr="00F5527C">
          <w:rPr>
            <w:rStyle w:val="Hyperlink"/>
            <w:noProof/>
            <w:lang w:val="en-US"/>
          </w:rPr>
          <w:t>Table 4.6: Overview of technology specific OPEX and lifetime</w:t>
        </w:r>
        <w:r>
          <w:rPr>
            <w:noProof/>
            <w:webHidden/>
          </w:rPr>
          <w:tab/>
        </w:r>
        <w:r>
          <w:rPr>
            <w:noProof/>
            <w:webHidden/>
          </w:rPr>
          <w:fldChar w:fldCharType="begin"/>
        </w:r>
        <w:r>
          <w:rPr>
            <w:noProof/>
            <w:webHidden/>
          </w:rPr>
          <w:instrText xml:space="preserve"> PAGEREF _Toc184403595 \h </w:instrText>
        </w:r>
        <w:r>
          <w:rPr>
            <w:noProof/>
            <w:webHidden/>
          </w:rPr>
        </w:r>
        <w:r>
          <w:rPr>
            <w:noProof/>
            <w:webHidden/>
          </w:rPr>
          <w:fldChar w:fldCharType="separate"/>
        </w:r>
        <w:r>
          <w:rPr>
            <w:noProof/>
            <w:webHidden/>
          </w:rPr>
          <w:t>56</w:t>
        </w:r>
        <w:r>
          <w:rPr>
            <w:noProof/>
            <w:webHidden/>
          </w:rPr>
          <w:fldChar w:fldCharType="end"/>
        </w:r>
      </w:hyperlink>
    </w:p>
    <w:p w14:paraId="72E7D915" w14:textId="157E9CA6" w:rsidR="008A2576" w:rsidRDefault="008A2576">
      <w:pPr>
        <w:pStyle w:val="TableofFigures"/>
        <w:tabs>
          <w:tab w:val="right" w:leader="dot" w:pos="9016"/>
        </w:tabs>
        <w:rPr>
          <w:rFonts w:eastAsiaTheme="minorEastAsia"/>
          <w:noProof/>
          <w:lang w:eastAsia="en-GB"/>
        </w:rPr>
      </w:pPr>
      <w:hyperlink w:anchor="_Toc184403596" w:history="1">
        <w:r w:rsidRPr="00F5527C">
          <w:rPr>
            <w:rStyle w:val="Hyperlink"/>
            <w:noProof/>
            <w:lang w:val="en-US"/>
          </w:rPr>
          <w:t>Table 4.7: Economic parameters</w:t>
        </w:r>
        <w:r>
          <w:rPr>
            <w:noProof/>
            <w:webHidden/>
          </w:rPr>
          <w:tab/>
        </w:r>
        <w:r>
          <w:rPr>
            <w:noProof/>
            <w:webHidden/>
          </w:rPr>
          <w:fldChar w:fldCharType="begin"/>
        </w:r>
        <w:r>
          <w:rPr>
            <w:noProof/>
            <w:webHidden/>
          </w:rPr>
          <w:instrText xml:space="preserve"> PAGEREF _Toc184403596 \h </w:instrText>
        </w:r>
        <w:r>
          <w:rPr>
            <w:noProof/>
            <w:webHidden/>
          </w:rPr>
        </w:r>
        <w:r>
          <w:rPr>
            <w:noProof/>
            <w:webHidden/>
          </w:rPr>
          <w:fldChar w:fldCharType="separate"/>
        </w:r>
        <w:r>
          <w:rPr>
            <w:noProof/>
            <w:webHidden/>
          </w:rPr>
          <w:t>57</w:t>
        </w:r>
        <w:r>
          <w:rPr>
            <w:noProof/>
            <w:webHidden/>
          </w:rPr>
          <w:fldChar w:fldCharType="end"/>
        </w:r>
      </w:hyperlink>
    </w:p>
    <w:p w14:paraId="437FF789" w14:textId="28A59477" w:rsidR="008A2576" w:rsidRDefault="008A2576">
      <w:pPr>
        <w:pStyle w:val="TableofFigures"/>
        <w:tabs>
          <w:tab w:val="right" w:leader="dot" w:pos="9016"/>
        </w:tabs>
        <w:rPr>
          <w:rFonts w:eastAsiaTheme="minorEastAsia"/>
          <w:noProof/>
          <w:lang w:eastAsia="en-GB"/>
        </w:rPr>
      </w:pPr>
      <w:hyperlink w:anchor="_Toc184403597" w:history="1">
        <w:r w:rsidRPr="00F5527C">
          <w:rPr>
            <w:rStyle w:val="Hyperlink"/>
            <w:noProof/>
            <w:lang w:val="en-US"/>
          </w:rPr>
          <w:t>Table 4.8: Parameters for the levelized cost of CO</w:t>
        </w:r>
        <w:r w:rsidRPr="00F5527C">
          <w:rPr>
            <w:rStyle w:val="Hyperlink"/>
            <w:noProof/>
            <w:vertAlign w:val="subscript"/>
            <w:lang w:val="en-US"/>
          </w:rPr>
          <w:t>2</w:t>
        </w:r>
        <w:r w:rsidRPr="00F5527C">
          <w:rPr>
            <w:rStyle w:val="Hyperlink"/>
            <w:noProof/>
            <w:lang w:val="en-US"/>
          </w:rPr>
          <w:t>: sensitivity analysis</w:t>
        </w:r>
        <w:r>
          <w:rPr>
            <w:noProof/>
            <w:webHidden/>
          </w:rPr>
          <w:tab/>
        </w:r>
        <w:r>
          <w:rPr>
            <w:noProof/>
            <w:webHidden/>
          </w:rPr>
          <w:fldChar w:fldCharType="begin"/>
        </w:r>
        <w:r>
          <w:rPr>
            <w:noProof/>
            <w:webHidden/>
          </w:rPr>
          <w:instrText xml:space="preserve"> PAGEREF _Toc184403597 \h </w:instrText>
        </w:r>
        <w:r>
          <w:rPr>
            <w:noProof/>
            <w:webHidden/>
          </w:rPr>
        </w:r>
        <w:r>
          <w:rPr>
            <w:noProof/>
            <w:webHidden/>
          </w:rPr>
          <w:fldChar w:fldCharType="separate"/>
        </w:r>
        <w:r>
          <w:rPr>
            <w:noProof/>
            <w:webHidden/>
          </w:rPr>
          <w:t>64</w:t>
        </w:r>
        <w:r>
          <w:rPr>
            <w:noProof/>
            <w:webHidden/>
          </w:rPr>
          <w:fldChar w:fldCharType="end"/>
        </w:r>
      </w:hyperlink>
    </w:p>
    <w:p w14:paraId="1F4814D1" w14:textId="6B8E34B0" w:rsidR="008A2576" w:rsidRDefault="008A2576">
      <w:pPr>
        <w:pStyle w:val="TableofFigures"/>
        <w:tabs>
          <w:tab w:val="right" w:leader="dot" w:pos="9016"/>
        </w:tabs>
        <w:rPr>
          <w:rFonts w:eastAsiaTheme="minorEastAsia"/>
          <w:noProof/>
          <w:lang w:eastAsia="en-GB"/>
        </w:rPr>
      </w:pPr>
      <w:hyperlink w:anchor="_Toc184403598" w:history="1">
        <w:r w:rsidRPr="00F5527C">
          <w:rPr>
            <w:rStyle w:val="Hyperlink"/>
            <w:noProof/>
            <w:lang w:val="en-US"/>
          </w:rPr>
          <w:t>Table 4.9: Parameters for the levelized cost of eSAF: sensitivity analysis</w:t>
        </w:r>
        <w:r>
          <w:rPr>
            <w:noProof/>
            <w:webHidden/>
          </w:rPr>
          <w:tab/>
        </w:r>
        <w:r>
          <w:rPr>
            <w:noProof/>
            <w:webHidden/>
          </w:rPr>
          <w:fldChar w:fldCharType="begin"/>
        </w:r>
        <w:r>
          <w:rPr>
            <w:noProof/>
            <w:webHidden/>
          </w:rPr>
          <w:instrText xml:space="preserve"> PAGEREF _Toc184403598 \h </w:instrText>
        </w:r>
        <w:r>
          <w:rPr>
            <w:noProof/>
            <w:webHidden/>
          </w:rPr>
        </w:r>
        <w:r>
          <w:rPr>
            <w:noProof/>
            <w:webHidden/>
          </w:rPr>
          <w:fldChar w:fldCharType="separate"/>
        </w:r>
        <w:r>
          <w:rPr>
            <w:noProof/>
            <w:webHidden/>
          </w:rPr>
          <w:t>65</w:t>
        </w:r>
        <w:r>
          <w:rPr>
            <w:noProof/>
            <w:webHidden/>
          </w:rPr>
          <w:fldChar w:fldCharType="end"/>
        </w:r>
      </w:hyperlink>
    </w:p>
    <w:p w14:paraId="2B536BCC" w14:textId="27A66386" w:rsidR="008A2576" w:rsidRDefault="008A2576">
      <w:pPr>
        <w:pStyle w:val="TableofFigures"/>
        <w:tabs>
          <w:tab w:val="right" w:leader="dot" w:pos="9016"/>
        </w:tabs>
        <w:rPr>
          <w:rFonts w:eastAsiaTheme="minorEastAsia"/>
          <w:noProof/>
          <w:lang w:eastAsia="en-GB"/>
        </w:rPr>
      </w:pPr>
      <w:hyperlink w:anchor="_Toc184403599" w:history="1">
        <w:r w:rsidRPr="00F5527C">
          <w:rPr>
            <w:rStyle w:val="Hyperlink"/>
            <w:noProof/>
            <w:lang w:val="en-US"/>
          </w:rPr>
          <w:t>Table 4.10: Performance specs of the different solid oxide electrolyzers</w:t>
        </w:r>
        <w:r>
          <w:rPr>
            <w:noProof/>
            <w:webHidden/>
          </w:rPr>
          <w:tab/>
        </w:r>
        <w:r>
          <w:rPr>
            <w:noProof/>
            <w:webHidden/>
          </w:rPr>
          <w:fldChar w:fldCharType="begin"/>
        </w:r>
        <w:r>
          <w:rPr>
            <w:noProof/>
            <w:webHidden/>
          </w:rPr>
          <w:instrText xml:space="preserve"> PAGEREF _Toc184403599 \h </w:instrText>
        </w:r>
        <w:r>
          <w:rPr>
            <w:noProof/>
            <w:webHidden/>
          </w:rPr>
        </w:r>
        <w:r>
          <w:rPr>
            <w:noProof/>
            <w:webHidden/>
          </w:rPr>
          <w:fldChar w:fldCharType="separate"/>
        </w:r>
        <w:r>
          <w:rPr>
            <w:noProof/>
            <w:webHidden/>
          </w:rPr>
          <w:t>69</w:t>
        </w:r>
        <w:r>
          <w:rPr>
            <w:noProof/>
            <w:webHidden/>
          </w:rPr>
          <w:fldChar w:fldCharType="end"/>
        </w:r>
      </w:hyperlink>
    </w:p>
    <w:p w14:paraId="1D2331EE" w14:textId="77777777" w:rsidR="00392D36" w:rsidRDefault="00392D36" w:rsidP="00392D36">
      <w:pPr>
        <w:rPr>
          <w:lang w:val="en-US"/>
        </w:rPr>
      </w:pPr>
      <w:r w:rsidRPr="00670221">
        <w:rPr>
          <w:lang w:val="en-US"/>
        </w:rPr>
        <w:fldChar w:fldCharType="end"/>
      </w:r>
    </w:p>
    <w:p w14:paraId="1821FF8A" w14:textId="77777777" w:rsidR="00392D36" w:rsidRDefault="00392D36">
      <w:pPr>
        <w:spacing w:before="0" w:after="0"/>
        <w:jc w:val="left"/>
        <w:rPr>
          <w:lang w:val="en-US"/>
        </w:rPr>
      </w:pPr>
      <w:r>
        <w:rPr>
          <w:lang w:val="en-US"/>
        </w:rPr>
        <w:br w:type="page"/>
      </w:r>
    </w:p>
    <w:p w14:paraId="420E0D71" w14:textId="6A3F4409" w:rsidR="003829A8" w:rsidRPr="00670221" w:rsidRDefault="003829A8" w:rsidP="00BC298F">
      <w:pPr>
        <w:jc w:val="right"/>
        <w:rPr>
          <w:rFonts w:asciiTheme="majorHAnsi" w:hAnsiTheme="majorHAnsi" w:cstheme="majorHAnsi"/>
          <w:sz w:val="96"/>
          <w:szCs w:val="96"/>
          <w:lang w:val="en-US"/>
        </w:rPr>
      </w:pPr>
      <w:r w:rsidRPr="00670221">
        <w:rPr>
          <w:rFonts w:asciiTheme="majorHAnsi" w:hAnsiTheme="majorHAnsi" w:cstheme="majorHAnsi"/>
          <w:sz w:val="96"/>
          <w:szCs w:val="96"/>
          <w:lang w:val="en-US"/>
        </w:rPr>
        <w:lastRenderedPageBreak/>
        <w:t>Table of Contents</w:t>
      </w:r>
    </w:p>
    <w:sdt>
      <w:sdtPr>
        <w:rPr>
          <w:rFonts w:cstheme="minorBidi"/>
          <w:b w:val="0"/>
          <w:bCs w:val="0"/>
          <w:i w:val="0"/>
          <w:iCs w:val="0"/>
          <w:lang w:val="en-US"/>
        </w:rPr>
        <w:id w:val="-681039194"/>
        <w:docPartObj>
          <w:docPartGallery w:val="Table of Contents"/>
          <w:docPartUnique/>
        </w:docPartObj>
      </w:sdtPr>
      <w:sdtEndPr/>
      <w:sdtContent>
        <w:p w14:paraId="0D803E6C" w14:textId="3CB7113D" w:rsidR="008A2576" w:rsidRDefault="00502C92">
          <w:pPr>
            <w:pStyle w:val="TOC1"/>
            <w:tabs>
              <w:tab w:val="left" w:pos="480"/>
              <w:tab w:val="right" w:leader="dot" w:pos="9016"/>
            </w:tabs>
            <w:rPr>
              <w:rFonts w:eastAsiaTheme="minorEastAsia" w:cstheme="minorBidi"/>
              <w:b w:val="0"/>
              <w:bCs w:val="0"/>
              <w:i w:val="0"/>
              <w:iCs w:val="0"/>
              <w:noProof/>
              <w:lang w:eastAsia="en-GB"/>
            </w:rPr>
          </w:pPr>
          <w:r w:rsidRPr="00670221">
            <w:rPr>
              <w:b w:val="0"/>
              <w:bCs w:val="0"/>
              <w:lang w:val="en-US"/>
            </w:rPr>
            <w:fldChar w:fldCharType="begin"/>
          </w:r>
          <w:r w:rsidRPr="00670221">
            <w:rPr>
              <w:lang w:val="en-US"/>
            </w:rPr>
            <w:instrText xml:space="preserve"> TOC \o "1-3" \h \z \u </w:instrText>
          </w:r>
          <w:r w:rsidRPr="00670221">
            <w:rPr>
              <w:b w:val="0"/>
              <w:bCs w:val="0"/>
              <w:lang w:val="en-US"/>
            </w:rPr>
            <w:fldChar w:fldCharType="separate"/>
          </w:r>
          <w:hyperlink w:anchor="_Toc184403408" w:history="1">
            <w:r w:rsidR="008A2576" w:rsidRPr="0073523E">
              <w:rPr>
                <w:rStyle w:val="Hyperlink"/>
                <w:noProof/>
              </w:rPr>
              <w:t>1.</w:t>
            </w:r>
            <w:r w:rsidR="008A2576">
              <w:rPr>
                <w:rFonts w:eastAsiaTheme="minorEastAsia" w:cstheme="minorBidi"/>
                <w:b w:val="0"/>
                <w:bCs w:val="0"/>
                <w:i w:val="0"/>
                <w:iCs w:val="0"/>
                <w:noProof/>
                <w:lang w:eastAsia="en-GB"/>
              </w:rPr>
              <w:tab/>
            </w:r>
            <w:r w:rsidR="008A2576" w:rsidRPr="0073523E">
              <w:rPr>
                <w:rStyle w:val="Hyperlink"/>
                <w:noProof/>
              </w:rPr>
              <w:t>Research Problem</w:t>
            </w:r>
            <w:r w:rsidR="008A2576">
              <w:rPr>
                <w:noProof/>
                <w:webHidden/>
              </w:rPr>
              <w:tab/>
            </w:r>
            <w:r w:rsidR="008A2576">
              <w:rPr>
                <w:noProof/>
                <w:webHidden/>
              </w:rPr>
              <w:fldChar w:fldCharType="begin"/>
            </w:r>
            <w:r w:rsidR="008A2576">
              <w:rPr>
                <w:noProof/>
                <w:webHidden/>
              </w:rPr>
              <w:instrText xml:space="preserve"> PAGEREF _Toc184403408 \h </w:instrText>
            </w:r>
            <w:r w:rsidR="008A2576">
              <w:rPr>
                <w:noProof/>
                <w:webHidden/>
              </w:rPr>
            </w:r>
            <w:r w:rsidR="008A2576">
              <w:rPr>
                <w:noProof/>
                <w:webHidden/>
              </w:rPr>
              <w:fldChar w:fldCharType="separate"/>
            </w:r>
            <w:r w:rsidR="008A2576">
              <w:rPr>
                <w:noProof/>
                <w:webHidden/>
              </w:rPr>
              <w:t>1</w:t>
            </w:r>
            <w:r w:rsidR="008A2576">
              <w:rPr>
                <w:noProof/>
                <w:webHidden/>
              </w:rPr>
              <w:fldChar w:fldCharType="end"/>
            </w:r>
          </w:hyperlink>
        </w:p>
        <w:p w14:paraId="0BE77EE4" w14:textId="2E770A1E"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09" w:history="1">
            <w:r w:rsidRPr="0073523E">
              <w:rPr>
                <w:rStyle w:val="Hyperlink"/>
                <w:noProof/>
              </w:rPr>
              <w:t>1.1.</w:t>
            </w:r>
            <w:r>
              <w:rPr>
                <w:rFonts w:eastAsiaTheme="minorEastAsia" w:cstheme="minorBidi"/>
                <w:b w:val="0"/>
                <w:bCs w:val="0"/>
                <w:noProof/>
                <w:sz w:val="24"/>
                <w:szCs w:val="24"/>
                <w:lang w:eastAsia="en-GB"/>
              </w:rPr>
              <w:tab/>
            </w:r>
            <w:r w:rsidRPr="0073523E">
              <w:rPr>
                <w:rStyle w:val="Hyperlink"/>
                <w:noProof/>
              </w:rPr>
              <w:t>Introduction</w:t>
            </w:r>
            <w:r>
              <w:rPr>
                <w:noProof/>
                <w:webHidden/>
              </w:rPr>
              <w:tab/>
            </w:r>
            <w:r>
              <w:rPr>
                <w:noProof/>
                <w:webHidden/>
              </w:rPr>
              <w:fldChar w:fldCharType="begin"/>
            </w:r>
            <w:r>
              <w:rPr>
                <w:noProof/>
                <w:webHidden/>
              </w:rPr>
              <w:instrText xml:space="preserve"> PAGEREF _Toc184403409 \h </w:instrText>
            </w:r>
            <w:r>
              <w:rPr>
                <w:noProof/>
                <w:webHidden/>
              </w:rPr>
            </w:r>
            <w:r>
              <w:rPr>
                <w:noProof/>
                <w:webHidden/>
              </w:rPr>
              <w:fldChar w:fldCharType="separate"/>
            </w:r>
            <w:r>
              <w:rPr>
                <w:noProof/>
                <w:webHidden/>
              </w:rPr>
              <w:t>1</w:t>
            </w:r>
            <w:r>
              <w:rPr>
                <w:noProof/>
                <w:webHidden/>
              </w:rPr>
              <w:fldChar w:fldCharType="end"/>
            </w:r>
          </w:hyperlink>
        </w:p>
        <w:p w14:paraId="4AFBB982" w14:textId="5C120A75"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10" w:history="1">
            <w:r w:rsidRPr="0073523E">
              <w:rPr>
                <w:rStyle w:val="Hyperlink"/>
                <w:noProof/>
              </w:rPr>
              <w:t>1.1.1.</w:t>
            </w:r>
            <w:r>
              <w:rPr>
                <w:rFonts w:eastAsiaTheme="minorEastAsia" w:cstheme="minorBidi"/>
                <w:noProof/>
                <w:sz w:val="24"/>
                <w:szCs w:val="24"/>
                <w:lang w:eastAsia="en-GB"/>
              </w:rPr>
              <w:tab/>
            </w:r>
            <w:r w:rsidRPr="0073523E">
              <w:rPr>
                <w:rStyle w:val="Hyperlink"/>
                <w:noProof/>
              </w:rPr>
              <w:t>Sustainable Aviation Fuels</w:t>
            </w:r>
            <w:r>
              <w:rPr>
                <w:noProof/>
                <w:webHidden/>
              </w:rPr>
              <w:tab/>
            </w:r>
            <w:r>
              <w:rPr>
                <w:noProof/>
                <w:webHidden/>
              </w:rPr>
              <w:fldChar w:fldCharType="begin"/>
            </w:r>
            <w:r>
              <w:rPr>
                <w:noProof/>
                <w:webHidden/>
              </w:rPr>
              <w:instrText xml:space="preserve"> PAGEREF _Toc184403410 \h </w:instrText>
            </w:r>
            <w:r>
              <w:rPr>
                <w:noProof/>
                <w:webHidden/>
              </w:rPr>
            </w:r>
            <w:r>
              <w:rPr>
                <w:noProof/>
                <w:webHidden/>
              </w:rPr>
              <w:fldChar w:fldCharType="separate"/>
            </w:r>
            <w:r>
              <w:rPr>
                <w:noProof/>
                <w:webHidden/>
              </w:rPr>
              <w:t>1</w:t>
            </w:r>
            <w:r>
              <w:rPr>
                <w:noProof/>
                <w:webHidden/>
              </w:rPr>
              <w:fldChar w:fldCharType="end"/>
            </w:r>
          </w:hyperlink>
        </w:p>
        <w:p w14:paraId="36089169" w14:textId="4E935FF2"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11" w:history="1">
            <w:r w:rsidRPr="0073523E">
              <w:rPr>
                <w:rStyle w:val="Hyperlink"/>
                <w:noProof/>
              </w:rPr>
              <w:t>1.1.2.</w:t>
            </w:r>
            <w:r>
              <w:rPr>
                <w:rFonts w:eastAsiaTheme="minorEastAsia" w:cstheme="minorBidi"/>
                <w:noProof/>
                <w:sz w:val="24"/>
                <w:szCs w:val="24"/>
                <w:lang w:eastAsia="en-GB"/>
              </w:rPr>
              <w:tab/>
            </w:r>
            <w:r w:rsidRPr="0073523E">
              <w:rPr>
                <w:rStyle w:val="Hyperlink"/>
                <w:noProof/>
              </w:rPr>
              <w:t>Direct Air Capture</w:t>
            </w:r>
            <w:r>
              <w:rPr>
                <w:noProof/>
                <w:webHidden/>
              </w:rPr>
              <w:tab/>
            </w:r>
            <w:r>
              <w:rPr>
                <w:noProof/>
                <w:webHidden/>
              </w:rPr>
              <w:fldChar w:fldCharType="begin"/>
            </w:r>
            <w:r>
              <w:rPr>
                <w:noProof/>
                <w:webHidden/>
              </w:rPr>
              <w:instrText xml:space="preserve"> PAGEREF _Toc184403411 \h </w:instrText>
            </w:r>
            <w:r>
              <w:rPr>
                <w:noProof/>
                <w:webHidden/>
              </w:rPr>
            </w:r>
            <w:r>
              <w:rPr>
                <w:noProof/>
                <w:webHidden/>
              </w:rPr>
              <w:fldChar w:fldCharType="separate"/>
            </w:r>
            <w:r>
              <w:rPr>
                <w:noProof/>
                <w:webHidden/>
              </w:rPr>
              <w:t>2</w:t>
            </w:r>
            <w:r>
              <w:rPr>
                <w:noProof/>
                <w:webHidden/>
              </w:rPr>
              <w:fldChar w:fldCharType="end"/>
            </w:r>
          </w:hyperlink>
        </w:p>
        <w:p w14:paraId="01BF332E" w14:textId="1F7ACE35"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12" w:history="1">
            <w:r w:rsidRPr="0073523E">
              <w:rPr>
                <w:rStyle w:val="Hyperlink"/>
                <w:noProof/>
              </w:rPr>
              <w:t>1.2.</w:t>
            </w:r>
            <w:r>
              <w:rPr>
                <w:rFonts w:eastAsiaTheme="minorEastAsia" w:cstheme="minorBidi"/>
                <w:b w:val="0"/>
                <w:bCs w:val="0"/>
                <w:noProof/>
                <w:sz w:val="24"/>
                <w:szCs w:val="24"/>
                <w:lang w:eastAsia="en-GB"/>
              </w:rPr>
              <w:tab/>
            </w:r>
            <w:r w:rsidRPr="0073523E">
              <w:rPr>
                <w:rStyle w:val="Hyperlink"/>
                <w:noProof/>
              </w:rPr>
              <w:t>Problem statement</w:t>
            </w:r>
            <w:r>
              <w:rPr>
                <w:noProof/>
                <w:webHidden/>
              </w:rPr>
              <w:tab/>
            </w:r>
            <w:r>
              <w:rPr>
                <w:noProof/>
                <w:webHidden/>
              </w:rPr>
              <w:fldChar w:fldCharType="begin"/>
            </w:r>
            <w:r>
              <w:rPr>
                <w:noProof/>
                <w:webHidden/>
              </w:rPr>
              <w:instrText xml:space="preserve"> PAGEREF _Toc184403412 \h </w:instrText>
            </w:r>
            <w:r>
              <w:rPr>
                <w:noProof/>
                <w:webHidden/>
              </w:rPr>
            </w:r>
            <w:r>
              <w:rPr>
                <w:noProof/>
                <w:webHidden/>
              </w:rPr>
              <w:fldChar w:fldCharType="separate"/>
            </w:r>
            <w:r>
              <w:rPr>
                <w:noProof/>
                <w:webHidden/>
              </w:rPr>
              <w:t>3</w:t>
            </w:r>
            <w:r>
              <w:rPr>
                <w:noProof/>
                <w:webHidden/>
              </w:rPr>
              <w:fldChar w:fldCharType="end"/>
            </w:r>
          </w:hyperlink>
        </w:p>
        <w:p w14:paraId="1F1B0A82" w14:textId="36D563A7"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13" w:history="1">
            <w:r w:rsidRPr="0073523E">
              <w:rPr>
                <w:rStyle w:val="Hyperlink"/>
                <w:noProof/>
              </w:rPr>
              <w:t>1.3.</w:t>
            </w:r>
            <w:r>
              <w:rPr>
                <w:rFonts w:eastAsiaTheme="minorEastAsia" w:cstheme="minorBidi"/>
                <w:b w:val="0"/>
                <w:bCs w:val="0"/>
                <w:noProof/>
                <w:sz w:val="24"/>
                <w:szCs w:val="24"/>
                <w:lang w:eastAsia="en-GB"/>
              </w:rPr>
              <w:tab/>
            </w:r>
            <w:r w:rsidRPr="0073523E">
              <w:rPr>
                <w:rStyle w:val="Hyperlink"/>
                <w:noProof/>
              </w:rPr>
              <w:t>State of the Art</w:t>
            </w:r>
            <w:r>
              <w:rPr>
                <w:noProof/>
                <w:webHidden/>
              </w:rPr>
              <w:tab/>
            </w:r>
            <w:r>
              <w:rPr>
                <w:noProof/>
                <w:webHidden/>
              </w:rPr>
              <w:fldChar w:fldCharType="begin"/>
            </w:r>
            <w:r>
              <w:rPr>
                <w:noProof/>
                <w:webHidden/>
              </w:rPr>
              <w:instrText xml:space="preserve"> PAGEREF _Toc184403413 \h </w:instrText>
            </w:r>
            <w:r>
              <w:rPr>
                <w:noProof/>
                <w:webHidden/>
              </w:rPr>
            </w:r>
            <w:r>
              <w:rPr>
                <w:noProof/>
                <w:webHidden/>
              </w:rPr>
              <w:fldChar w:fldCharType="separate"/>
            </w:r>
            <w:r>
              <w:rPr>
                <w:noProof/>
                <w:webHidden/>
              </w:rPr>
              <w:t>4</w:t>
            </w:r>
            <w:r>
              <w:rPr>
                <w:noProof/>
                <w:webHidden/>
              </w:rPr>
              <w:fldChar w:fldCharType="end"/>
            </w:r>
          </w:hyperlink>
        </w:p>
        <w:p w14:paraId="6B6EE9CE" w14:textId="6F7D9594"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14" w:history="1">
            <w:r w:rsidRPr="0073523E">
              <w:rPr>
                <w:rStyle w:val="Hyperlink"/>
                <w:noProof/>
              </w:rPr>
              <w:t>1.4.</w:t>
            </w:r>
            <w:r>
              <w:rPr>
                <w:rFonts w:eastAsiaTheme="minorEastAsia" w:cstheme="minorBidi"/>
                <w:b w:val="0"/>
                <w:bCs w:val="0"/>
                <w:noProof/>
                <w:sz w:val="24"/>
                <w:szCs w:val="24"/>
                <w:lang w:eastAsia="en-GB"/>
              </w:rPr>
              <w:tab/>
            </w:r>
            <w:r w:rsidRPr="0073523E">
              <w:rPr>
                <w:rStyle w:val="Hyperlink"/>
                <w:noProof/>
              </w:rPr>
              <w:t>Knowledge Gap</w:t>
            </w:r>
            <w:r>
              <w:rPr>
                <w:noProof/>
                <w:webHidden/>
              </w:rPr>
              <w:tab/>
            </w:r>
            <w:r>
              <w:rPr>
                <w:noProof/>
                <w:webHidden/>
              </w:rPr>
              <w:fldChar w:fldCharType="begin"/>
            </w:r>
            <w:r>
              <w:rPr>
                <w:noProof/>
                <w:webHidden/>
              </w:rPr>
              <w:instrText xml:space="preserve"> PAGEREF _Toc184403414 \h </w:instrText>
            </w:r>
            <w:r>
              <w:rPr>
                <w:noProof/>
                <w:webHidden/>
              </w:rPr>
            </w:r>
            <w:r>
              <w:rPr>
                <w:noProof/>
                <w:webHidden/>
              </w:rPr>
              <w:fldChar w:fldCharType="separate"/>
            </w:r>
            <w:r>
              <w:rPr>
                <w:noProof/>
                <w:webHidden/>
              </w:rPr>
              <w:t>7</w:t>
            </w:r>
            <w:r>
              <w:rPr>
                <w:noProof/>
                <w:webHidden/>
              </w:rPr>
              <w:fldChar w:fldCharType="end"/>
            </w:r>
          </w:hyperlink>
        </w:p>
        <w:p w14:paraId="190C66BE" w14:textId="23D2709C"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15" w:history="1">
            <w:r w:rsidRPr="0073523E">
              <w:rPr>
                <w:rStyle w:val="Hyperlink"/>
                <w:noProof/>
              </w:rPr>
              <w:t>1.5.</w:t>
            </w:r>
            <w:r>
              <w:rPr>
                <w:rFonts w:eastAsiaTheme="minorEastAsia" w:cstheme="minorBidi"/>
                <w:b w:val="0"/>
                <w:bCs w:val="0"/>
                <w:noProof/>
                <w:sz w:val="24"/>
                <w:szCs w:val="24"/>
                <w:lang w:eastAsia="en-GB"/>
              </w:rPr>
              <w:tab/>
            </w:r>
            <w:r w:rsidRPr="0073523E">
              <w:rPr>
                <w:rStyle w:val="Hyperlink"/>
                <w:noProof/>
              </w:rPr>
              <w:t>Research Questions</w:t>
            </w:r>
            <w:r>
              <w:rPr>
                <w:noProof/>
                <w:webHidden/>
              </w:rPr>
              <w:tab/>
            </w:r>
            <w:r>
              <w:rPr>
                <w:noProof/>
                <w:webHidden/>
              </w:rPr>
              <w:fldChar w:fldCharType="begin"/>
            </w:r>
            <w:r>
              <w:rPr>
                <w:noProof/>
                <w:webHidden/>
              </w:rPr>
              <w:instrText xml:space="preserve"> PAGEREF _Toc184403415 \h </w:instrText>
            </w:r>
            <w:r>
              <w:rPr>
                <w:noProof/>
                <w:webHidden/>
              </w:rPr>
            </w:r>
            <w:r>
              <w:rPr>
                <w:noProof/>
                <w:webHidden/>
              </w:rPr>
              <w:fldChar w:fldCharType="separate"/>
            </w:r>
            <w:r>
              <w:rPr>
                <w:noProof/>
                <w:webHidden/>
              </w:rPr>
              <w:t>7</w:t>
            </w:r>
            <w:r>
              <w:rPr>
                <w:noProof/>
                <w:webHidden/>
              </w:rPr>
              <w:fldChar w:fldCharType="end"/>
            </w:r>
          </w:hyperlink>
        </w:p>
        <w:p w14:paraId="0BCE57E0" w14:textId="26327777"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16" w:history="1">
            <w:r w:rsidRPr="0073523E">
              <w:rPr>
                <w:rStyle w:val="Hyperlink"/>
                <w:noProof/>
              </w:rPr>
              <w:t>1.6.</w:t>
            </w:r>
            <w:r>
              <w:rPr>
                <w:rFonts w:eastAsiaTheme="minorEastAsia" w:cstheme="minorBidi"/>
                <w:b w:val="0"/>
                <w:bCs w:val="0"/>
                <w:noProof/>
                <w:sz w:val="24"/>
                <w:szCs w:val="24"/>
                <w:lang w:eastAsia="en-GB"/>
              </w:rPr>
              <w:tab/>
            </w:r>
            <w:r w:rsidRPr="0073523E">
              <w:rPr>
                <w:rStyle w:val="Hyperlink"/>
                <w:noProof/>
              </w:rPr>
              <w:t>Link to CoSEM</w:t>
            </w:r>
            <w:r>
              <w:rPr>
                <w:noProof/>
                <w:webHidden/>
              </w:rPr>
              <w:tab/>
            </w:r>
            <w:r>
              <w:rPr>
                <w:noProof/>
                <w:webHidden/>
              </w:rPr>
              <w:fldChar w:fldCharType="begin"/>
            </w:r>
            <w:r>
              <w:rPr>
                <w:noProof/>
                <w:webHidden/>
              </w:rPr>
              <w:instrText xml:space="preserve"> PAGEREF _Toc184403416 \h </w:instrText>
            </w:r>
            <w:r>
              <w:rPr>
                <w:noProof/>
                <w:webHidden/>
              </w:rPr>
            </w:r>
            <w:r>
              <w:rPr>
                <w:noProof/>
                <w:webHidden/>
              </w:rPr>
              <w:fldChar w:fldCharType="separate"/>
            </w:r>
            <w:r>
              <w:rPr>
                <w:noProof/>
                <w:webHidden/>
              </w:rPr>
              <w:t>8</w:t>
            </w:r>
            <w:r>
              <w:rPr>
                <w:noProof/>
                <w:webHidden/>
              </w:rPr>
              <w:fldChar w:fldCharType="end"/>
            </w:r>
          </w:hyperlink>
        </w:p>
        <w:p w14:paraId="060DDF7B" w14:textId="121BFFC6"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17" w:history="1">
            <w:r w:rsidRPr="0073523E">
              <w:rPr>
                <w:rStyle w:val="Hyperlink"/>
                <w:noProof/>
              </w:rPr>
              <w:t>1.7.</w:t>
            </w:r>
            <w:r>
              <w:rPr>
                <w:rFonts w:eastAsiaTheme="minorEastAsia" w:cstheme="minorBidi"/>
                <w:b w:val="0"/>
                <w:bCs w:val="0"/>
                <w:noProof/>
                <w:sz w:val="24"/>
                <w:szCs w:val="24"/>
                <w:lang w:eastAsia="en-GB"/>
              </w:rPr>
              <w:tab/>
            </w:r>
            <w:r w:rsidRPr="0073523E">
              <w:rPr>
                <w:rStyle w:val="Hyperlink"/>
                <w:noProof/>
              </w:rPr>
              <w:t>Structure of this Thesis</w:t>
            </w:r>
            <w:r>
              <w:rPr>
                <w:noProof/>
                <w:webHidden/>
              </w:rPr>
              <w:tab/>
            </w:r>
            <w:r>
              <w:rPr>
                <w:noProof/>
                <w:webHidden/>
              </w:rPr>
              <w:fldChar w:fldCharType="begin"/>
            </w:r>
            <w:r>
              <w:rPr>
                <w:noProof/>
                <w:webHidden/>
              </w:rPr>
              <w:instrText xml:space="preserve"> PAGEREF _Toc184403417 \h </w:instrText>
            </w:r>
            <w:r>
              <w:rPr>
                <w:noProof/>
                <w:webHidden/>
              </w:rPr>
            </w:r>
            <w:r>
              <w:rPr>
                <w:noProof/>
                <w:webHidden/>
              </w:rPr>
              <w:fldChar w:fldCharType="separate"/>
            </w:r>
            <w:r>
              <w:rPr>
                <w:noProof/>
                <w:webHidden/>
              </w:rPr>
              <w:t>8</w:t>
            </w:r>
            <w:r>
              <w:rPr>
                <w:noProof/>
                <w:webHidden/>
              </w:rPr>
              <w:fldChar w:fldCharType="end"/>
            </w:r>
          </w:hyperlink>
        </w:p>
        <w:p w14:paraId="5D432083" w14:textId="60E996D2" w:rsidR="008A2576" w:rsidRDefault="008A2576">
          <w:pPr>
            <w:pStyle w:val="TOC1"/>
            <w:tabs>
              <w:tab w:val="left" w:pos="480"/>
              <w:tab w:val="right" w:leader="dot" w:pos="9016"/>
            </w:tabs>
            <w:rPr>
              <w:rFonts w:eastAsiaTheme="minorEastAsia" w:cstheme="minorBidi"/>
              <w:b w:val="0"/>
              <w:bCs w:val="0"/>
              <w:i w:val="0"/>
              <w:iCs w:val="0"/>
              <w:noProof/>
              <w:lang w:eastAsia="en-GB"/>
            </w:rPr>
          </w:pPr>
          <w:hyperlink w:anchor="_Toc184403418" w:history="1">
            <w:r w:rsidRPr="0073523E">
              <w:rPr>
                <w:rStyle w:val="Hyperlink"/>
                <w:noProof/>
              </w:rPr>
              <w:t>2.</w:t>
            </w:r>
            <w:r>
              <w:rPr>
                <w:rFonts w:eastAsiaTheme="minorEastAsia" w:cstheme="minorBidi"/>
                <w:b w:val="0"/>
                <w:bCs w:val="0"/>
                <w:i w:val="0"/>
                <w:iCs w:val="0"/>
                <w:noProof/>
                <w:lang w:eastAsia="en-GB"/>
              </w:rPr>
              <w:tab/>
            </w:r>
            <w:r w:rsidRPr="0073523E">
              <w:rPr>
                <w:rStyle w:val="Hyperlink"/>
                <w:noProof/>
              </w:rPr>
              <w:t>Research Methodology</w:t>
            </w:r>
            <w:r>
              <w:rPr>
                <w:noProof/>
                <w:webHidden/>
              </w:rPr>
              <w:tab/>
            </w:r>
            <w:r>
              <w:rPr>
                <w:noProof/>
                <w:webHidden/>
              </w:rPr>
              <w:fldChar w:fldCharType="begin"/>
            </w:r>
            <w:r>
              <w:rPr>
                <w:noProof/>
                <w:webHidden/>
              </w:rPr>
              <w:instrText xml:space="preserve"> PAGEREF _Toc184403418 \h </w:instrText>
            </w:r>
            <w:r>
              <w:rPr>
                <w:noProof/>
                <w:webHidden/>
              </w:rPr>
            </w:r>
            <w:r>
              <w:rPr>
                <w:noProof/>
                <w:webHidden/>
              </w:rPr>
              <w:fldChar w:fldCharType="separate"/>
            </w:r>
            <w:r>
              <w:rPr>
                <w:noProof/>
                <w:webHidden/>
              </w:rPr>
              <w:t>10</w:t>
            </w:r>
            <w:r>
              <w:rPr>
                <w:noProof/>
                <w:webHidden/>
              </w:rPr>
              <w:fldChar w:fldCharType="end"/>
            </w:r>
          </w:hyperlink>
        </w:p>
        <w:p w14:paraId="73432F95" w14:textId="3DBD9E3A"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19" w:history="1">
            <w:r w:rsidRPr="0073523E">
              <w:rPr>
                <w:rStyle w:val="Hyperlink"/>
                <w:noProof/>
              </w:rPr>
              <w:t>2.1.</w:t>
            </w:r>
            <w:r>
              <w:rPr>
                <w:rFonts w:eastAsiaTheme="minorEastAsia" w:cstheme="minorBidi"/>
                <w:b w:val="0"/>
                <w:bCs w:val="0"/>
                <w:noProof/>
                <w:sz w:val="24"/>
                <w:szCs w:val="24"/>
                <w:lang w:eastAsia="en-GB"/>
              </w:rPr>
              <w:tab/>
            </w:r>
            <w:r w:rsidRPr="0073523E">
              <w:rPr>
                <w:rStyle w:val="Hyperlink"/>
                <w:noProof/>
              </w:rPr>
              <w:t>Research Approach</w:t>
            </w:r>
            <w:r>
              <w:rPr>
                <w:noProof/>
                <w:webHidden/>
              </w:rPr>
              <w:tab/>
            </w:r>
            <w:r>
              <w:rPr>
                <w:noProof/>
                <w:webHidden/>
              </w:rPr>
              <w:fldChar w:fldCharType="begin"/>
            </w:r>
            <w:r>
              <w:rPr>
                <w:noProof/>
                <w:webHidden/>
              </w:rPr>
              <w:instrText xml:space="preserve"> PAGEREF _Toc184403419 \h </w:instrText>
            </w:r>
            <w:r>
              <w:rPr>
                <w:noProof/>
                <w:webHidden/>
              </w:rPr>
            </w:r>
            <w:r>
              <w:rPr>
                <w:noProof/>
                <w:webHidden/>
              </w:rPr>
              <w:fldChar w:fldCharType="separate"/>
            </w:r>
            <w:r>
              <w:rPr>
                <w:noProof/>
                <w:webHidden/>
              </w:rPr>
              <w:t>11</w:t>
            </w:r>
            <w:r>
              <w:rPr>
                <w:noProof/>
                <w:webHidden/>
              </w:rPr>
              <w:fldChar w:fldCharType="end"/>
            </w:r>
          </w:hyperlink>
        </w:p>
        <w:p w14:paraId="738559D7" w14:textId="055A47F5"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20" w:history="1">
            <w:r w:rsidRPr="0073523E">
              <w:rPr>
                <w:rStyle w:val="Hyperlink"/>
                <w:noProof/>
              </w:rPr>
              <w:t>2.2.</w:t>
            </w:r>
            <w:r>
              <w:rPr>
                <w:rFonts w:eastAsiaTheme="minorEastAsia" w:cstheme="minorBidi"/>
                <w:b w:val="0"/>
                <w:bCs w:val="0"/>
                <w:noProof/>
                <w:sz w:val="24"/>
                <w:szCs w:val="24"/>
                <w:lang w:eastAsia="en-GB"/>
              </w:rPr>
              <w:tab/>
            </w:r>
            <w:r w:rsidRPr="0073523E">
              <w:rPr>
                <w:rStyle w:val="Hyperlink"/>
                <w:noProof/>
              </w:rPr>
              <w:t>Data Collection</w:t>
            </w:r>
            <w:r>
              <w:rPr>
                <w:noProof/>
                <w:webHidden/>
              </w:rPr>
              <w:tab/>
            </w:r>
            <w:r>
              <w:rPr>
                <w:noProof/>
                <w:webHidden/>
              </w:rPr>
              <w:fldChar w:fldCharType="begin"/>
            </w:r>
            <w:r>
              <w:rPr>
                <w:noProof/>
                <w:webHidden/>
              </w:rPr>
              <w:instrText xml:space="preserve"> PAGEREF _Toc184403420 \h </w:instrText>
            </w:r>
            <w:r>
              <w:rPr>
                <w:noProof/>
                <w:webHidden/>
              </w:rPr>
            </w:r>
            <w:r>
              <w:rPr>
                <w:noProof/>
                <w:webHidden/>
              </w:rPr>
              <w:fldChar w:fldCharType="separate"/>
            </w:r>
            <w:r>
              <w:rPr>
                <w:noProof/>
                <w:webHidden/>
              </w:rPr>
              <w:t>11</w:t>
            </w:r>
            <w:r>
              <w:rPr>
                <w:noProof/>
                <w:webHidden/>
              </w:rPr>
              <w:fldChar w:fldCharType="end"/>
            </w:r>
          </w:hyperlink>
        </w:p>
        <w:p w14:paraId="5DD490E7" w14:textId="38CCD01C"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21" w:history="1">
            <w:r w:rsidRPr="0073523E">
              <w:rPr>
                <w:rStyle w:val="Hyperlink"/>
                <w:noProof/>
              </w:rPr>
              <w:t>2.3.</w:t>
            </w:r>
            <w:r>
              <w:rPr>
                <w:rFonts w:eastAsiaTheme="minorEastAsia" w:cstheme="minorBidi"/>
                <w:b w:val="0"/>
                <w:bCs w:val="0"/>
                <w:noProof/>
                <w:sz w:val="24"/>
                <w:szCs w:val="24"/>
                <w:lang w:eastAsia="en-GB"/>
              </w:rPr>
              <w:tab/>
            </w:r>
            <w:r w:rsidRPr="0073523E">
              <w:rPr>
                <w:rStyle w:val="Hyperlink"/>
                <w:noProof/>
              </w:rPr>
              <w:t>Socio-Technical Analysis</w:t>
            </w:r>
            <w:r>
              <w:rPr>
                <w:noProof/>
                <w:webHidden/>
              </w:rPr>
              <w:tab/>
            </w:r>
            <w:r>
              <w:rPr>
                <w:noProof/>
                <w:webHidden/>
              </w:rPr>
              <w:fldChar w:fldCharType="begin"/>
            </w:r>
            <w:r>
              <w:rPr>
                <w:noProof/>
                <w:webHidden/>
              </w:rPr>
              <w:instrText xml:space="preserve"> PAGEREF _Toc184403421 \h </w:instrText>
            </w:r>
            <w:r>
              <w:rPr>
                <w:noProof/>
                <w:webHidden/>
              </w:rPr>
            </w:r>
            <w:r>
              <w:rPr>
                <w:noProof/>
                <w:webHidden/>
              </w:rPr>
              <w:fldChar w:fldCharType="separate"/>
            </w:r>
            <w:r>
              <w:rPr>
                <w:noProof/>
                <w:webHidden/>
              </w:rPr>
              <w:t>12</w:t>
            </w:r>
            <w:r>
              <w:rPr>
                <w:noProof/>
                <w:webHidden/>
              </w:rPr>
              <w:fldChar w:fldCharType="end"/>
            </w:r>
          </w:hyperlink>
        </w:p>
        <w:p w14:paraId="3EC7DB3D" w14:textId="3224AE76"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22" w:history="1">
            <w:r w:rsidRPr="0073523E">
              <w:rPr>
                <w:rStyle w:val="Hyperlink"/>
                <w:noProof/>
              </w:rPr>
              <w:t>2.3.1.</w:t>
            </w:r>
            <w:r>
              <w:rPr>
                <w:rFonts w:eastAsiaTheme="minorEastAsia" w:cstheme="minorBidi"/>
                <w:noProof/>
                <w:sz w:val="24"/>
                <w:szCs w:val="24"/>
                <w:lang w:eastAsia="en-GB"/>
              </w:rPr>
              <w:tab/>
            </w:r>
            <w:r w:rsidRPr="0073523E">
              <w:rPr>
                <w:rStyle w:val="Hyperlink"/>
                <w:noProof/>
              </w:rPr>
              <w:t>Description of Components</w:t>
            </w:r>
            <w:r>
              <w:rPr>
                <w:noProof/>
                <w:webHidden/>
              </w:rPr>
              <w:tab/>
            </w:r>
            <w:r>
              <w:rPr>
                <w:noProof/>
                <w:webHidden/>
              </w:rPr>
              <w:fldChar w:fldCharType="begin"/>
            </w:r>
            <w:r>
              <w:rPr>
                <w:noProof/>
                <w:webHidden/>
              </w:rPr>
              <w:instrText xml:space="preserve"> PAGEREF _Toc184403422 \h </w:instrText>
            </w:r>
            <w:r>
              <w:rPr>
                <w:noProof/>
                <w:webHidden/>
              </w:rPr>
            </w:r>
            <w:r>
              <w:rPr>
                <w:noProof/>
                <w:webHidden/>
              </w:rPr>
              <w:fldChar w:fldCharType="separate"/>
            </w:r>
            <w:r>
              <w:rPr>
                <w:noProof/>
                <w:webHidden/>
              </w:rPr>
              <w:t>14</w:t>
            </w:r>
            <w:r>
              <w:rPr>
                <w:noProof/>
                <w:webHidden/>
              </w:rPr>
              <w:fldChar w:fldCharType="end"/>
            </w:r>
          </w:hyperlink>
        </w:p>
        <w:p w14:paraId="14328D87" w14:textId="443BB21D"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23" w:history="1">
            <w:r w:rsidRPr="0073523E">
              <w:rPr>
                <w:rStyle w:val="Hyperlink"/>
                <w:noProof/>
              </w:rPr>
              <w:t>2.4.</w:t>
            </w:r>
            <w:r>
              <w:rPr>
                <w:rFonts w:eastAsiaTheme="minorEastAsia" w:cstheme="minorBidi"/>
                <w:b w:val="0"/>
                <w:bCs w:val="0"/>
                <w:noProof/>
                <w:sz w:val="24"/>
                <w:szCs w:val="24"/>
                <w:lang w:eastAsia="en-GB"/>
              </w:rPr>
              <w:tab/>
            </w:r>
            <w:r w:rsidRPr="0073523E">
              <w:rPr>
                <w:rStyle w:val="Hyperlink"/>
                <w:noProof/>
              </w:rPr>
              <w:t>Techno-Economic Analysis</w:t>
            </w:r>
            <w:r>
              <w:rPr>
                <w:noProof/>
                <w:webHidden/>
              </w:rPr>
              <w:tab/>
            </w:r>
            <w:r>
              <w:rPr>
                <w:noProof/>
                <w:webHidden/>
              </w:rPr>
              <w:fldChar w:fldCharType="begin"/>
            </w:r>
            <w:r>
              <w:rPr>
                <w:noProof/>
                <w:webHidden/>
              </w:rPr>
              <w:instrText xml:space="preserve"> PAGEREF _Toc184403423 \h </w:instrText>
            </w:r>
            <w:r>
              <w:rPr>
                <w:noProof/>
                <w:webHidden/>
              </w:rPr>
            </w:r>
            <w:r>
              <w:rPr>
                <w:noProof/>
                <w:webHidden/>
              </w:rPr>
              <w:fldChar w:fldCharType="separate"/>
            </w:r>
            <w:r>
              <w:rPr>
                <w:noProof/>
                <w:webHidden/>
              </w:rPr>
              <w:t>16</w:t>
            </w:r>
            <w:r>
              <w:rPr>
                <w:noProof/>
                <w:webHidden/>
              </w:rPr>
              <w:fldChar w:fldCharType="end"/>
            </w:r>
          </w:hyperlink>
        </w:p>
        <w:p w14:paraId="726C29C4" w14:textId="3AC33FD6"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24" w:history="1">
            <w:r w:rsidRPr="0073523E">
              <w:rPr>
                <w:rStyle w:val="Hyperlink"/>
                <w:noProof/>
              </w:rPr>
              <w:t>2.4.1.</w:t>
            </w:r>
            <w:r>
              <w:rPr>
                <w:rFonts w:eastAsiaTheme="minorEastAsia" w:cstheme="minorBidi"/>
                <w:noProof/>
                <w:sz w:val="24"/>
                <w:szCs w:val="24"/>
                <w:lang w:eastAsia="en-GB"/>
              </w:rPr>
              <w:tab/>
            </w:r>
            <w:r w:rsidRPr="0073523E">
              <w:rPr>
                <w:rStyle w:val="Hyperlink"/>
                <w:noProof/>
              </w:rPr>
              <w:t>Goal and Scope Definition</w:t>
            </w:r>
            <w:r>
              <w:rPr>
                <w:noProof/>
                <w:webHidden/>
              </w:rPr>
              <w:tab/>
            </w:r>
            <w:r>
              <w:rPr>
                <w:noProof/>
                <w:webHidden/>
              </w:rPr>
              <w:fldChar w:fldCharType="begin"/>
            </w:r>
            <w:r>
              <w:rPr>
                <w:noProof/>
                <w:webHidden/>
              </w:rPr>
              <w:instrText xml:space="preserve"> PAGEREF _Toc184403424 \h </w:instrText>
            </w:r>
            <w:r>
              <w:rPr>
                <w:noProof/>
                <w:webHidden/>
              </w:rPr>
            </w:r>
            <w:r>
              <w:rPr>
                <w:noProof/>
                <w:webHidden/>
              </w:rPr>
              <w:fldChar w:fldCharType="separate"/>
            </w:r>
            <w:r>
              <w:rPr>
                <w:noProof/>
                <w:webHidden/>
              </w:rPr>
              <w:t>16</w:t>
            </w:r>
            <w:r>
              <w:rPr>
                <w:noProof/>
                <w:webHidden/>
              </w:rPr>
              <w:fldChar w:fldCharType="end"/>
            </w:r>
          </w:hyperlink>
        </w:p>
        <w:p w14:paraId="3A8B271C" w14:textId="48DE0DB3"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25" w:history="1">
            <w:r w:rsidRPr="0073523E">
              <w:rPr>
                <w:rStyle w:val="Hyperlink"/>
                <w:noProof/>
              </w:rPr>
              <w:t>2.4.2.</w:t>
            </w:r>
            <w:r>
              <w:rPr>
                <w:rFonts w:eastAsiaTheme="minorEastAsia" w:cstheme="minorBidi"/>
                <w:noProof/>
                <w:sz w:val="24"/>
                <w:szCs w:val="24"/>
                <w:lang w:eastAsia="en-GB"/>
              </w:rPr>
              <w:tab/>
            </w:r>
            <w:r w:rsidRPr="0073523E">
              <w:rPr>
                <w:rStyle w:val="Hyperlink"/>
                <w:noProof/>
              </w:rPr>
              <w:t>Inventory</w:t>
            </w:r>
            <w:r>
              <w:rPr>
                <w:noProof/>
                <w:webHidden/>
              </w:rPr>
              <w:tab/>
            </w:r>
            <w:r>
              <w:rPr>
                <w:noProof/>
                <w:webHidden/>
              </w:rPr>
              <w:fldChar w:fldCharType="begin"/>
            </w:r>
            <w:r>
              <w:rPr>
                <w:noProof/>
                <w:webHidden/>
              </w:rPr>
              <w:instrText xml:space="preserve"> PAGEREF _Toc184403425 \h </w:instrText>
            </w:r>
            <w:r>
              <w:rPr>
                <w:noProof/>
                <w:webHidden/>
              </w:rPr>
            </w:r>
            <w:r>
              <w:rPr>
                <w:noProof/>
                <w:webHidden/>
              </w:rPr>
              <w:fldChar w:fldCharType="separate"/>
            </w:r>
            <w:r>
              <w:rPr>
                <w:noProof/>
                <w:webHidden/>
              </w:rPr>
              <w:t>17</w:t>
            </w:r>
            <w:r>
              <w:rPr>
                <w:noProof/>
                <w:webHidden/>
              </w:rPr>
              <w:fldChar w:fldCharType="end"/>
            </w:r>
          </w:hyperlink>
        </w:p>
        <w:p w14:paraId="07682E06" w14:textId="733CCB3E"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26" w:history="1">
            <w:r w:rsidRPr="0073523E">
              <w:rPr>
                <w:rStyle w:val="Hyperlink"/>
                <w:noProof/>
              </w:rPr>
              <w:t>2.4.3.</w:t>
            </w:r>
            <w:r>
              <w:rPr>
                <w:rFonts w:eastAsiaTheme="minorEastAsia" w:cstheme="minorBidi"/>
                <w:noProof/>
                <w:sz w:val="24"/>
                <w:szCs w:val="24"/>
                <w:lang w:eastAsia="en-GB"/>
              </w:rPr>
              <w:tab/>
            </w:r>
            <w:r w:rsidRPr="0073523E">
              <w:rPr>
                <w:rStyle w:val="Hyperlink"/>
                <w:noProof/>
              </w:rPr>
              <w:t>Calculation of Indicators</w:t>
            </w:r>
            <w:r>
              <w:rPr>
                <w:noProof/>
                <w:webHidden/>
              </w:rPr>
              <w:tab/>
            </w:r>
            <w:r>
              <w:rPr>
                <w:noProof/>
                <w:webHidden/>
              </w:rPr>
              <w:fldChar w:fldCharType="begin"/>
            </w:r>
            <w:r>
              <w:rPr>
                <w:noProof/>
                <w:webHidden/>
              </w:rPr>
              <w:instrText xml:space="preserve"> PAGEREF _Toc184403426 \h </w:instrText>
            </w:r>
            <w:r>
              <w:rPr>
                <w:noProof/>
                <w:webHidden/>
              </w:rPr>
            </w:r>
            <w:r>
              <w:rPr>
                <w:noProof/>
                <w:webHidden/>
              </w:rPr>
              <w:fldChar w:fldCharType="separate"/>
            </w:r>
            <w:r>
              <w:rPr>
                <w:noProof/>
                <w:webHidden/>
              </w:rPr>
              <w:t>17</w:t>
            </w:r>
            <w:r>
              <w:rPr>
                <w:noProof/>
                <w:webHidden/>
              </w:rPr>
              <w:fldChar w:fldCharType="end"/>
            </w:r>
          </w:hyperlink>
        </w:p>
        <w:p w14:paraId="42BA4F48" w14:textId="121F6E40" w:rsidR="008A2576" w:rsidRDefault="008A2576">
          <w:pPr>
            <w:pStyle w:val="TOC1"/>
            <w:tabs>
              <w:tab w:val="left" w:pos="480"/>
              <w:tab w:val="right" w:leader="dot" w:pos="9016"/>
            </w:tabs>
            <w:rPr>
              <w:rFonts w:eastAsiaTheme="minorEastAsia" w:cstheme="minorBidi"/>
              <w:b w:val="0"/>
              <w:bCs w:val="0"/>
              <w:i w:val="0"/>
              <w:iCs w:val="0"/>
              <w:noProof/>
              <w:lang w:eastAsia="en-GB"/>
            </w:rPr>
          </w:pPr>
          <w:hyperlink w:anchor="_Toc184403427" w:history="1">
            <w:r w:rsidRPr="0073523E">
              <w:rPr>
                <w:rStyle w:val="Hyperlink"/>
                <w:noProof/>
              </w:rPr>
              <w:t>3.</w:t>
            </w:r>
            <w:r>
              <w:rPr>
                <w:rFonts w:eastAsiaTheme="minorEastAsia" w:cstheme="minorBidi"/>
                <w:b w:val="0"/>
                <w:bCs w:val="0"/>
                <w:i w:val="0"/>
                <w:iCs w:val="0"/>
                <w:noProof/>
                <w:lang w:eastAsia="en-GB"/>
              </w:rPr>
              <w:tab/>
            </w:r>
            <w:r w:rsidRPr="0073523E">
              <w:rPr>
                <w:rStyle w:val="Hyperlink"/>
                <w:noProof/>
              </w:rPr>
              <w:t>Results: Socio-Technical Analysis</w:t>
            </w:r>
            <w:r>
              <w:rPr>
                <w:noProof/>
                <w:webHidden/>
              </w:rPr>
              <w:tab/>
            </w:r>
            <w:r>
              <w:rPr>
                <w:noProof/>
                <w:webHidden/>
              </w:rPr>
              <w:fldChar w:fldCharType="begin"/>
            </w:r>
            <w:r>
              <w:rPr>
                <w:noProof/>
                <w:webHidden/>
              </w:rPr>
              <w:instrText xml:space="preserve"> PAGEREF _Toc184403427 \h </w:instrText>
            </w:r>
            <w:r>
              <w:rPr>
                <w:noProof/>
                <w:webHidden/>
              </w:rPr>
            </w:r>
            <w:r>
              <w:rPr>
                <w:noProof/>
                <w:webHidden/>
              </w:rPr>
              <w:fldChar w:fldCharType="separate"/>
            </w:r>
            <w:r>
              <w:rPr>
                <w:noProof/>
                <w:webHidden/>
              </w:rPr>
              <w:t>22</w:t>
            </w:r>
            <w:r>
              <w:rPr>
                <w:noProof/>
                <w:webHidden/>
              </w:rPr>
              <w:fldChar w:fldCharType="end"/>
            </w:r>
          </w:hyperlink>
        </w:p>
        <w:p w14:paraId="0080525B" w14:textId="39C23907"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28" w:history="1">
            <w:r w:rsidRPr="0073523E">
              <w:rPr>
                <w:rStyle w:val="Hyperlink"/>
                <w:noProof/>
              </w:rPr>
              <w:t>3.1.</w:t>
            </w:r>
            <w:r>
              <w:rPr>
                <w:rFonts w:eastAsiaTheme="minorEastAsia" w:cstheme="minorBidi"/>
                <w:b w:val="0"/>
                <w:bCs w:val="0"/>
                <w:noProof/>
                <w:sz w:val="24"/>
                <w:szCs w:val="24"/>
                <w:lang w:eastAsia="en-GB"/>
              </w:rPr>
              <w:tab/>
            </w:r>
            <w:r w:rsidRPr="0073523E">
              <w:rPr>
                <w:rStyle w:val="Hyperlink"/>
                <w:noProof/>
              </w:rPr>
              <w:t>Technological trajectories</w:t>
            </w:r>
            <w:r>
              <w:rPr>
                <w:noProof/>
                <w:webHidden/>
              </w:rPr>
              <w:tab/>
            </w:r>
            <w:r>
              <w:rPr>
                <w:noProof/>
                <w:webHidden/>
              </w:rPr>
              <w:fldChar w:fldCharType="begin"/>
            </w:r>
            <w:r>
              <w:rPr>
                <w:noProof/>
                <w:webHidden/>
              </w:rPr>
              <w:instrText xml:space="preserve"> PAGEREF _Toc184403428 \h </w:instrText>
            </w:r>
            <w:r>
              <w:rPr>
                <w:noProof/>
                <w:webHidden/>
              </w:rPr>
            </w:r>
            <w:r>
              <w:rPr>
                <w:noProof/>
                <w:webHidden/>
              </w:rPr>
              <w:fldChar w:fldCharType="separate"/>
            </w:r>
            <w:r>
              <w:rPr>
                <w:noProof/>
                <w:webHidden/>
              </w:rPr>
              <w:t>22</w:t>
            </w:r>
            <w:r>
              <w:rPr>
                <w:noProof/>
                <w:webHidden/>
              </w:rPr>
              <w:fldChar w:fldCharType="end"/>
            </w:r>
          </w:hyperlink>
        </w:p>
        <w:p w14:paraId="55E40E53" w14:textId="3378AA52"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29" w:history="1">
            <w:r w:rsidRPr="0073523E">
              <w:rPr>
                <w:rStyle w:val="Hyperlink"/>
                <w:noProof/>
              </w:rPr>
              <w:t>3.1.1.</w:t>
            </w:r>
            <w:r>
              <w:rPr>
                <w:rFonts w:eastAsiaTheme="minorEastAsia" w:cstheme="minorBidi"/>
                <w:noProof/>
                <w:sz w:val="24"/>
                <w:szCs w:val="24"/>
                <w:lang w:eastAsia="en-GB"/>
              </w:rPr>
              <w:tab/>
            </w:r>
            <w:r w:rsidRPr="0073523E">
              <w:rPr>
                <w:rStyle w:val="Hyperlink"/>
                <w:noProof/>
              </w:rPr>
              <w:t>Energy</w:t>
            </w:r>
            <w:r>
              <w:rPr>
                <w:noProof/>
                <w:webHidden/>
              </w:rPr>
              <w:tab/>
            </w:r>
            <w:r>
              <w:rPr>
                <w:noProof/>
                <w:webHidden/>
              </w:rPr>
              <w:fldChar w:fldCharType="begin"/>
            </w:r>
            <w:r>
              <w:rPr>
                <w:noProof/>
                <w:webHidden/>
              </w:rPr>
              <w:instrText xml:space="preserve"> PAGEREF _Toc184403429 \h </w:instrText>
            </w:r>
            <w:r>
              <w:rPr>
                <w:noProof/>
                <w:webHidden/>
              </w:rPr>
            </w:r>
            <w:r>
              <w:rPr>
                <w:noProof/>
                <w:webHidden/>
              </w:rPr>
              <w:fldChar w:fldCharType="separate"/>
            </w:r>
            <w:r>
              <w:rPr>
                <w:noProof/>
                <w:webHidden/>
              </w:rPr>
              <w:t>24</w:t>
            </w:r>
            <w:r>
              <w:rPr>
                <w:noProof/>
                <w:webHidden/>
              </w:rPr>
              <w:fldChar w:fldCharType="end"/>
            </w:r>
          </w:hyperlink>
        </w:p>
        <w:p w14:paraId="290678DF" w14:textId="198569BA"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30" w:history="1">
            <w:r w:rsidRPr="0073523E">
              <w:rPr>
                <w:rStyle w:val="Hyperlink"/>
                <w:noProof/>
              </w:rPr>
              <w:t>3.1.2.</w:t>
            </w:r>
            <w:r>
              <w:rPr>
                <w:rFonts w:eastAsiaTheme="minorEastAsia" w:cstheme="minorBidi"/>
                <w:noProof/>
                <w:sz w:val="24"/>
                <w:szCs w:val="24"/>
                <w:lang w:eastAsia="en-GB"/>
              </w:rPr>
              <w:tab/>
            </w:r>
            <w:r w:rsidRPr="0073523E">
              <w:rPr>
                <w:rStyle w:val="Hyperlink"/>
                <w:noProof/>
              </w:rPr>
              <w:t>Electrolysis</w:t>
            </w:r>
            <w:r>
              <w:rPr>
                <w:noProof/>
                <w:webHidden/>
              </w:rPr>
              <w:tab/>
            </w:r>
            <w:r>
              <w:rPr>
                <w:noProof/>
                <w:webHidden/>
              </w:rPr>
              <w:fldChar w:fldCharType="begin"/>
            </w:r>
            <w:r>
              <w:rPr>
                <w:noProof/>
                <w:webHidden/>
              </w:rPr>
              <w:instrText xml:space="preserve"> PAGEREF _Toc184403430 \h </w:instrText>
            </w:r>
            <w:r>
              <w:rPr>
                <w:noProof/>
                <w:webHidden/>
              </w:rPr>
            </w:r>
            <w:r>
              <w:rPr>
                <w:noProof/>
                <w:webHidden/>
              </w:rPr>
              <w:fldChar w:fldCharType="separate"/>
            </w:r>
            <w:r>
              <w:rPr>
                <w:noProof/>
                <w:webHidden/>
              </w:rPr>
              <w:t>24</w:t>
            </w:r>
            <w:r>
              <w:rPr>
                <w:noProof/>
                <w:webHidden/>
              </w:rPr>
              <w:fldChar w:fldCharType="end"/>
            </w:r>
          </w:hyperlink>
        </w:p>
        <w:p w14:paraId="7857C578" w14:textId="5175A2BF"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31" w:history="1">
            <w:r w:rsidRPr="0073523E">
              <w:rPr>
                <w:rStyle w:val="Hyperlink"/>
                <w:noProof/>
              </w:rPr>
              <w:t>3.1.3.</w:t>
            </w:r>
            <w:r>
              <w:rPr>
                <w:rFonts w:eastAsiaTheme="minorEastAsia" w:cstheme="minorBidi"/>
                <w:noProof/>
                <w:sz w:val="24"/>
                <w:szCs w:val="24"/>
                <w:lang w:eastAsia="en-GB"/>
              </w:rPr>
              <w:tab/>
            </w:r>
            <w:r w:rsidRPr="0073523E">
              <w:rPr>
                <w:rStyle w:val="Hyperlink"/>
                <w:noProof/>
              </w:rPr>
              <w:t>Hydrogen Carriers</w:t>
            </w:r>
            <w:r>
              <w:rPr>
                <w:noProof/>
                <w:webHidden/>
              </w:rPr>
              <w:tab/>
            </w:r>
            <w:r>
              <w:rPr>
                <w:noProof/>
                <w:webHidden/>
              </w:rPr>
              <w:fldChar w:fldCharType="begin"/>
            </w:r>
            <w:r>
              <w:rPr>
                <w:noProof/>
                <w:webHidden/>
              </w:rPr>
              <w:instrText xml:space="preserve"> PAGEREF _Toc184403431 \h </w:instrText>
            </w:r>
            <w:r>
              <w:rPr>
                <w:noProof/>
                <w:webHidden/>
              </w:rPr>
            </w:r>
            <w:r>
              <w:rPr>
                <w:noProof/>
                <w:webHidden/>
              </w:rPr>
              <w:fldChar w:fldCharType="separate"/>
            </w:r>
            <w:r>
              <w:rPr>
                <w:noProof/>
                <w:webHidden/>
              </w:rPr>
              <w:t>25</w:t>
            </w:r>
            <w:r>
              <w:rPr>
                <w:noProof/>
                <w:webHidden/>
              </w:rPr>
              <w:fldChar w:fldCharType="end"/>
            </w:r>
          </w:hyperlink>
        </w:p>
        <w:p w14:paraId="5A3F9137" w14:textId="033BA96C"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32" w:history="1">
            <w:r w:rsidRPr="0073523E">
              <w:rPr>
                <w:rStyle w:val="Hyperlink"/>
                <w:noProof/>
              </w:rPr>
              <w:t>3.1.4.</w:t>
            </w:r>
            <w:r>
              <w:rPr>
                <w:rFonts w:eastAsiaTheme="minorEastAsia" w:cstheme="minorBidi"/>
                <w:noProof/>
                <w:sz w:val="24"/>
                <w:szCs w:val="24"/>
                <w:lang w:eastAsia="en-GB"/>
              </w:rPr>
              <w:tab/>
            </w:r>
            <w:r w:rsidRPr="0073523E">
              <w:rPr>
                <w:rStyle w:val="Hyperlink"/>
                <w:noProof/>
              </w:rPr>
              <w:t>Fuel Conversion Technologies</w:t>
            </w:r>
            <w:r>
              <w:rPr>
                <w:noProof/>
                <w:webHidden/>
              </w:rPr>
              <w:tab/>
            </w:r>
            <w:r>
              <w:rPr>
                <w:noProof/>
                <w:webHidden/>
              </w:rPr>
              <w:fldChar w:fldCharType="begin"/>
            </w:r>
            <w:r>
              <w:rPr>
                <w:noProof/>
                <w:webHidden/>
              </w:rPr>
              <w:instrText xml:space="preserve"> PAGEREF _Toc184403432 \h </w:instrText>
            </w:r>
            <w:r>
              <w:rPr>
                <w:noProof/>
                <w:webHidden/>
              </w:rPr>
            </w:r>
            <w:r>
              <w:rPr>
                <w:noProof/>
                <w:webHidden/>
              </w:rPr>
              <w:fldChar w:fldCharType="separate"/>
            </w:r>
            <w:r>
              <w:rPr>
                <w:noProof/>
                <w:webHidden/>
              </w:rPr>
              <w:t>26</w:t>
            </w:r>
            <w:r>
              <w:rPr>
                <w:noProof/>
                <w:webHidden/>
              </w:rPr>
              <w:fldChar w:fldCharType="end"/>
            </w:r>
          </w:hyperlink>
        </w:p>
        <w:p w14:paraId="53B2D826" w14:textId="7C7224B9"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33" w:history="1">
            <w:r w:rsidRPr="0073523E">
              <w:rPr>
                <w:rStyle w:val="Hyperlink"/>
                <w:noProof/>
              </w:rPr>
              <w:t>3.2.</w:t>
            </w:r>
            <w:r>
              <w:rPr>
                <w:rFonts w:eastAsiaTheme="minorEastAsia" w:cstheme="minorBidi"/>
                <w:b w:val="0"/>
                <w:bCs w:val="0"/>
                <w:noProof/>
                <w:sz w:val="24"/>
                <w:szCs w:val="24"/>
                <w:lang w:eastAsia="en-GB"/>
              </w:rPr>
              <w:tab/>
            </w:r>
            <w:r w:rsidRPr="0073523E">
              <w:rPr>
                <w:rStyle w:val="Hyperlink"/>
                <w:noProof/>
              </w:rPr>
              <w:t>Actors</w:t>
            </w:r>
            <w:r>
              <w:rPr>
                <w:noProof/>
                <w:webHidden/>
              </w:rPr>
              <w:tab/>
            </w:r>
            <w:r>
              <w:rPr>
                <w:noProof/>
                <w:webHidden/>
              </w:rPr>
              <w:fldChar w:fldCharType="begin"/>
            </w:r>
            <w:r>
              <w:rPr>
                <w:noProof/>
                <w:webHidden/>
              </w:rPr>
              <w:instrText xml:space="preserve"> PAGEREF _Toc184403433 \h </w:instrText>
            </w:r>
            <w:r>
              <w:rPr>
                <w:noProof/>
                <w:webHidden/>
              </w:rPr>
            </w:r>
            <w:r>
              <w:rPr>
                <w:noProof/>
                <w:webHidden/>
              </w:rPr>
              <w:fldChar w:fldCharType="separate"/>
            </w:r>
            <w:r>
              <w:rPr>
                <w:noProof/>
                <w:webHidden/>
              </w:rPr>
              <w:t>28</w:t>
            </w:r>
            <w:r>
              <w:rPr>
                <w:noProof/>
                <w:webHidden/>
              </w:rPr>
              <w:fldChar w:fldCharType="end"/>
            </w:r>
          </w:hyperlink>
        </w:p>
        <w:p w14:paraId="0F1B1C99" w14:textId="642A2045"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34" w:history="1">
            <w:r w:rsidRPr="0073523E">
              <w:rPr>
                <w:rStyle w:val="Hyperlink"/>
                <w:noProof/>
              </w:rPr>
              <w:t>3.2.1.</w:t>
            </w:r>
            <w:r>
              <w:rPr>
                <w:rFonts w:eastAsiaTheme="minorEastAsia" w:cstheme="minorBidi"/>
                <w:noProof/>
                <w:sz w:val="24"/>
                <w:szCs w:val="24"/>
                <w:lang w:eastAsia="en-GB"/>
              </w:rPr>
              <w:tab/>
            </w:r>
            <w:r w:rsidRPr="0073523E">
              <w:rPr>
                <w:rStyle w:val="Hyperlink"/>
                <w:noProof/>
              </w:rPr>
              <w:t>Knowledge Institutes and Educational Organizations</w:t>
            </w:r>
            <w:r>
              <w:rPr>
                <w:noProof/>
                <w:webHidden/>
              </w:rPr>
              <w:tab/>
            </w:r>
            <w:r>
              <w:rPr>
                <w:noProof/>
                <w:webHidden/>
              </w:rPr>
              <w:fldChar w:fldCharType="begin"/>
            </w:r>
            <w:r>
              <w:rPr>
                <w:noProof/>
                <w:webHidden/>
              </w:rPr>
              <w:instrText xml:space="preserve"> PAGEREF _Toc184403434 \h </w:instrText>
            </w:r>
            <w:r>
              <w:rPr>
                <w:noProof/>
                <w:webHidden/>
              </w:rPr>
            </w:r>
            <w:r>
              <w:rPr>
                <w:noProof/>
                <w:webHidden/>
              </w:rPr>
              <w:fldChar w:fldCharType="separate"/>
            </w:r>
            <w:r>
              <w:rPr>
                <w:noProof/>
                <w:webHidden/>
              </w:rPr>
              <w:t>29</w:t>
            </w:r>
            <w:r>
              <w:rPr>
                <w:noProof/>
                <w:webHidden/>
              </w:rPr>
              <w:fldChar w:fldCharType="end"/>
            </w:r>
          </w:hyperlink>
        </w:p>
        <w:p w14:paraId="1E24D78D" w14:textId="4154A0C3"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35" w:history="1">
            <w:r w:rsidRPr="0073523E">
              <w:rPr>
                <w:rStyle w:val="Hyperlink"/>
                <w:noProof/>
              </w:rPr>
              <w:t>3.2.2.</w:t>
            </w:r>
            <w:r>
              <w:rPr>
                <w:rFonts w:eastAsiaTheme="minorEastAsia" w:cstheme="minorBidi"/>
                <w:noProof/>
                <w:sz w:val="24"/>
                <w:szCs w:val="24"/>
                <w:lang w:eastAsia="en-GB"/>
              </w:rPr>
              <w:tab/>
            </w:r>
            <w:r w:rsidRPr="0073523E">
              <w:rPr>
                <w:rStyle w:val="Hyperlink"/>
                <w:noProof/>
              </w:rPr>
              <w:t>Industry &amp; Market Actors</w:t>
            </w:r>
            <w:r>
              <w:rPr>
                <w:noProof/>
                <w:webHidden/>
              </w:rPr>
              <w:tab/>
            </w:r>
            <w:r>
              <w:rPr>
                <w:noProof/>
                <w:webHidden/>
              </w:rPr>
              <w:fldChar w:fldCharType="begin"/>
            </w:r>
            <w:r>
              <w:rPr>
                <w:noProof/>
                <w:webHidden/>
              </w:rPr>
              <w:instrText xml:space="preserve"> PAGEREF _Toc184403435 \h </w:instrText>
            </w:r>
            <w:r>
              <w:rPr>
                <w:noProof/>
                <w:webHidden/>
              </w:rPr>
            </w:r>
            <w:r>
              <w:rPr>
                <w:noProof/>
                <w:webHidden/>
              </w:rPr>
              <w:fldChar w:fldCharType="separate"/>
            </w:r>
            <w:r>
              <w:rPr>
                <w:noProof/>
                <w:webHidden/>
              </w:rPr>
              <w:t>29</w:t>
            </w:r>
            <w:r>
              <w:rPr>
                <w:noProof/>
                <w:webHidden/>
              </w:rPr>
              <w:fldChar w:fldCharType="end"/>
            </w:r>
          </w:hyperlink>
        </w:p>
        <w:p w14:paraId="066DF805" w14:textId="3D5B350A"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36" w:history="1">
            <w:r w:rsidRPr="0073523E">
              <w:rPr>
                <w:rStyle w:val="Hyperlink"/>
                <w:noProof/>
              </w:rPr>
              <w:t>3.2.3.</w:t>
            </w:r>
            <w:r>
              <w:rPr>
                <w:rFonts w:eastAsiaTheme="minorEastAsia" w:cstheme="minorBidi"/>
                <w:noProof/>
                <w:sz w:val="24"/>
                <w:szCs w:val="24"/>
                <w:lang w:eastAsia="en-GB"/>
              </w:rPr>
              <w:tab/>
            </w:r>
            <w:r w:rsidRPr="0073523E">
              <w:rPr>
                <w:rStyle w:val="Hyperlink"/>
                <w:noProof/>
              </w:rPr>
              <w:t>Government Bodies and Supportive Organizations</w:t>
            </w:r>
            <w:r>
              <w:rPr>
                <w:noProof/>
                <w:webHidden/>
              </w:rPr>
              <w:tab/>
            </w:r>
            <w:r>
              <w:rPr>
                <w:noProof/>
                <w:webHidden/>
              </w:rPr>
              <w:fldChar w:fldCharType="begin"/>
            </w:r>
            <w:r>
              <w:rPr>
                <w:noProof/>
                <w:webHidden/>
              </w:rPr>
              <w:instrText xml:space="preserve"> PAGEREF _Toc184403436 \h </w:instrText>
            </w:r>
            <w:r>
              <w:rPr>
                <w:noProof/>
                <w:webHidden/>
              </w:rPr>
            </w:r>
            <w:r>
              <w:rPr>
                <w:noProof/>
                <w:webHidden/>
              </w:rPr>
              <w:fldChar w:fldCharType="separate"/>
            </w:r>
            <w:r>
              <w:rPr>
                <w:noProof/>
                <w:webHidden/>
              </w:rPr>
              <w:t>30</w:t>
            </w:r>
            <w:r>
              <w:rPr>
                <w:noProof/>
                <w:webHidden/>
              </w:rPr>
              <w:fldChar w:fldCharType="end"/>
            </w:r>
          </w:hyperlink>
        </w:p>
        <w:p w14:paraId="43D08958" w14:textId="3C201392"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37" w:history="1">
            <w:r w:rsidRPr="0073523E">
              <w:rPr>
                <w:rStyle w:val="Hyperlink"/>
                <w:noProof/>
              </w:rPr>
              <w:t>3.3.</w:t>
            </w:r>
            <w:r>
              <w:rPr>
                <w:rFonts w:eastAsiaTheme="minorEastAsia" w:cstheme="minorBidi"/>
                <w:b w:val="0"/>
                <w:bCs w:val="0"/>
                <w:noProof/>
                <w:sz w:val="24"/>
                <w:szCs w:val="24"/>
                <w:lang w:eastAsia="en-GB"/>
              </w:rPr>
              <w:tab/>
            </w:r>
            <w:r w:rsidRPr="0073523E">
              <w:rPr>
                <w:rStyle w:val="Hyperlink"/>
                <w:noProof/>
              </w:rPr>
              <w:t>Institutions</w:t>
            </w:r>
            <w:r>
              <w:rPr>
                <w:noProof/>
                <w:webHidden/>
              </w:rPr>
              <w:tab/>
            </w:r>
            <w:r>
              <w:rPr>
                <w:noProof/>
                <w:webHidden/>
              </w:rPr>
              <w:fldChar w:fldCharType="begin"/>
            </w:r>
            <w:r>
              <w:rPr>
                <w:noProof/>
                <w:webHidden/>
              </w:rPr>
              <w:instrText xml:space="preserve"> PAGEREF _Toc184403437 \h </w:instrText>
            </w:r>
            <w:r>
              <w:rPr>
                <w:noProof/>
                <w:webHidden/>
              </w:rPr>
            </w:r>
            <w:r>
              <w:rPr>
                <w:noProof/>
                <w:webHidden/>
              </w:rPr>
              <w:fldChar w:fldCharType="separate"/>
            </w:r>
            <w:r>
              <w:rPr>
                <w:noProof/>
                <w:webHidden/>
              </w:rPr>
              <w:t>33</w:t>
            </w:r>
            <w:r>
              <w:rPr>
                <w:noProof/>
                <w:webHidden/>
              </w:rPr>
              <w:fldChar w:fldCharType="end"/>
            </w:r>
          </w:hyperlink>
        </w:p>
        <w:p w14:paraId="3231D148" w14:textId="367C69ED"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38" w:history="1">
            <w:r w:rsidRPr="0073523E">
              <w:rPr>
                <w:rStyle w:val="Hyperlink"/>
                <w:noProof/>
              </w:rPr>
              <w:t>3.3.1.</w:t>
            </w:r>
            <w:r>
              <w:rPr>
                <w:rFonts w:eastAsiaTheme="minorEastAsia" w:cstheme="minorBidi"/>
                <w:noProof/>
                <w:sz w:val="24"/>
                <w:szCs w:val="24"/>
                <w:lang w:eastAsia="en-GB"/>
              </w:rPr>
              <w:tab/>
            </w:r>
            <w:r w:rsidRPr="0073523E">
              <w:rPr>
                <w:rStyle w:val="Hyperlink"/>
                <w:noProof/>
              </w:rPr>
              <w:t>Policy Foundations and Global Initiatives</w:t>
            </w:r>
            <w:r>
              <w:rPr>
                <w:noProof/>
                <w:webHidden/>
              </w:rPr>
              <w:tab/>
            </w:r>
            <w:r>
              <w:rPr>
                <w:noProof/>
                <w:webHidden/>
              </w:rPr>
              <w:fldChar w:fldCharType="begin"/>
            </w:r>
            <w:r>
              <w:rPr>
                <w:noProof/>
                <w:webHidden/>
              </w:rPr>
              <w:instrText xml:space="preserve"> PAGEREF _Toc184403438 \h </w:instrText>
            </w:r>
            <w:r>
              <w:rPr>
                <w:noProof/>
                <w:webHidden/>
              </w:rPr>
            </w:r>
            <w:r>
              <w:rPr>
                <w:noProof/>
                <w:webHidden/>
              </w:rPr>
              <w:fldChar w:fldCharType="separate"/>
            </w:r>
            <w:r>
              <w:rPr>
                <w:noProof/>
                <w:webHidden/>
              </w:rPr>
              <w:t>33</w:t>
            </w:r>
            <w:r>
              <w:rPr>
                <w:noProof/>
                <w:webHidden/>
              </w:rPr>
              <w:fldChar w:fldCharType="end"/>
            </w:r>
          </w:hyperlink>
        </w:p>
        <w:p w14:paraId="3C36889B" w14:textId="466EAE38"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39" w:history="1">
            <w:r w:rsidRPr="0073523E">
              <w:rPr>
                <w:rStyle w:val="Hyperlink"/>
                <w:noProof/>
              </w:rPr>
              <w:t>3.3.2.</w:t>
            </w:r>
            <w:r>
              <w:rPr>
                <w:rFonts w:eastAsiaTheme="minorEastAsia" w:cstheme="minorBidi"/>
                <w:noProof/>
                <w:sz w:val="24"/>
                <w:szCs w:val="24"/>
                <w:lang w:eastAsia="en-GB"/>
              </w:rPr>
              <w:tab/>
            </w:r>
            <w:r w:rsidRPr="0073523E">
              <w:rPr>
                <w:rStyle w:val="Hyperlink"/>
                <w:noProof/>
              </w:rPr>
              <w:t>European Climate Law</w:t>
            </w:r>
            <w:r>
              <w:rPr>
                <w:noProof/>
                <w:webHidden/>
              </w:rPr>
              <w:tab/>
            </w:r>
            <w:r>
              <w:rPr>
                <w:noProof/>
                <w:webHidden/>
              </w:rPr>
              <w:fldChar w:fldCharType="begin"/>
            </w:r>
            <w:r>
              <w:rPr>
                <w:noProof/>
                <w:webHidden/>
              </w:rPr>
              <w:instrText xml:space="preserve"> PAGEREF _Toc184403439 \h </w:instrText>
            </w:r>
            <w:r>
              <w:rPr>
                <w:noProof/>
                <w:webHidden/>
              </w:rPr>
            </w:r>
            <w:r>
              <w:rPr>
                <w:noProof/>
                <w:webHidden/>
              </w:rPr>
              <w:fldChar w:fldCharType="separate"/>
            </w:r>
            <w:r>
              <w:rPr>
                <w:noProof/>
                <w:webHidden/>
              </w:rPr>
              <w:t>34</w:t>
            </w:r>
            <w:r>
              <w:rPr>
                <w:noProof/>
                <w:webHidden/>
              </w:rPr>
              <w:fldChar w:fldCharType="end"/>
            </w:r>
          </w:hyperlink>
        </w:p>
        <w:p w14:paraId="132366CC" w14:textId="1FB40A42"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40" w:history="1">
            <w:r w:rsidRPr="0073523E">
              <w:rPr>
                <w:rStyle w:val="Hyperlink"/>
                <w:noProof/>
              </w:rPr>
              <w:t>3.4.</w:t>
            </w:r>
            <w:r>
              <w:rPr>
                <w:rFonts w:eastAsiaTheme="minorEastAsia" w:cstheme="minorBidi"/>
                <w:b w:val="0"/>
                <w:bCs w:val="0"/>
                <w:noProof/>
                <w:sz w:val="24"/>
                <w:szCs w:val="24"/>
                <w:lang w:eastAsia="en-GB"/>
              </w:rPr>
              <w:tab/>
            </w:r>
            <w:r w:rsidRPr="0073523E">
              <w:rPr>
                <w:rStyle w:val="Hyperlink"/>
                <w:noProof/>
              </w:rPr>
              <w:t>Networks</w:t>
            </w:r>
            <w:r>
              <w:rPr>
                <w:noProof/>
                <w:webHidden/>
              </w:rPr>
              <w:tab/>
            </w:r>
            <w:r>
              <w:rPr>
                <w:noProof/>
                <w:webHidden/>
              </w:rPr>
              <w:fldChar w:fldCharType="begin"/>
            </w:r>
            <w:r>
              <w:rPr>
                <w:noProof/>
                <w:webHidden/>
              </w:rPr>
              <w:instrText xml:space="preserve"> PAGEREF _Toc184403440 \h </w:instrText>
            </w:r>
            <w:r>
              <w:rPr>
                <w:noProof/>
                <w:webHidden/>
              </w:rPr>
            </w:r>
            <w:r>
              <w:rPr>
                <w:noProof/>
                <w:webHidden/>
              </w:rPr>
              <w:fldChar w:fldCharType="separate"/>
            </w:r>
            <w:r>
              <w:rPr>
                <w:noProof/>
                <w:webHidden/>
              </w:rPr>
              <w:t>36</w:t>
            </w:r>
            <w:r>
              <w:rPr>
                <w:noProof/>
                <w:webHidden/>
              </w:rPr>
              <w:fldChar w:fldCharType="end"/>
            </w:r>
          </w:hyperlink>
        </w:p>
        <w:p w14:paraId="502B5455" w14:textId="3EE09757"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41" w:history="1">
            <w:r w:rsidRPr="0073523E">
              <w:rPr>
                <w:rStyle w:val="Hyperlink"/>
                <w:noProof/>
              </w:rPr>
              <w:t>3.5.</w:t>
            </w:r>
            <w:r>
              <w:rPr>
                <w:rFonts w:eastAsiaTheme="minorEastAsia" w:cstheme="minorBidi"/>
                <w:b w:val="0"/>
                <w:bCs w:val="0"/>
                <w:noProof/>
                <w:sz w:val="24"/>
                <w:szCs w:val="24"/>
                <w:lang w:eastAsia="en-GB"/>
              </w:rPr>
              <w:tab/>
            </w:r>
            <w:r w:rsidRPr="0073523E">
              <w:rPr>
                <w:rStyle w:val="Hyperlink"/>
                <w:noProof/>
              </w:rPr>
              <w:t>Criteria</w:t>
            </w:r>
            <w:r>
              <w:rPr>
                <w:noProof/>
                <w:webHidden/>
              </w:rPr>
              <w:tab/>
            </w:r>
            <w:r>
              <w:rPr>
                <w:noProof/>
                <w:webHidden/>
              </w:rPr>
              <w:fldChar w:fldCharType="begin"/>
            </w:r>
            <w:r>
              <w:rPr>
                <w:noProof/>
                <w:webHidden/>
              </w:rPr>
              <w:instrText xml:space="preserve"> PAGEREF _Toc184403441 \h </w:instrText>
            </w:r>
            <w:r>
              <w:rPr>
                <w:noProof/>
                <w:webHidden/>
              </w:rPr>
            </w:r>
            <w:r>
              <w:rPr>
                <w:noProof/>
                <w:webHidden/>
              </w:rPr>
              <w:fldChar w:fldCharType="separate"/>
            </w:r>
            <w:r>
              <w:rPr>
                <w:noProof/>
                <w:webHidden/>
              </w:rPr>
              <w:t>41</w:t>
            </w:r>
            <w:r>
              <w:rPr>
                <w:noProof/>
                <w:webHidden/>
              </w:rPr>
              <w:fldChar w:fldCharType="end"/>
            </w:r>
          </w:hyperlink>
        </w:p>
        <w:p w14:paraId="294F31DF" w14:textId="49763D36"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42" w:history="1">
            <w:r w:rsidRPr="0073523E">
              <w:rPr>
                <w:rStyle w:val="Hyperlink"/>
                <w:noProof/>
              </w:rPr>
              <w:t>3.5.1.</w:t>
            </w:r>
            <w:r>
              <w:rPr>
                <w:rFonts w:eastAsiaTheme="minorEastAsia" w:cstheme="minorBidi"/>
                <w:noProof/>
                <w:sz w:val="24"/>
                <w:szCs w:val="24"/>
                <w:lang w:eastAsia="en-GB"/>
              </w:rPr>
              <w:tab/>
            </w:r>
            <w:r w:rsidRPr="0073523E">
              <w:rPr>
                <w:rStyle w:val="Hyperlink"/>
                <w:noProof/>
              </w:rPr>
              <w:t>Setting Technical Criteria</w:t>
            </w:r>
            <w:r>
              <w:rPr>
                <w:noProof/>
                <w:webHidden/>
              </w:rPr>
              <w:tab/>
            </w:r>
            <w:r>
              <w:rPr>
                <w:noProof/>
                <w:webHidden/>
              </w:rPr>
              <w:fldChar w:fldCharType="begin"/>
            </w:r>
            <w:r>
              <w:rPr>
                <w:noProof/>
                <w:webHidden/>
              </w:rPr>
              <w:instrText xml:space="preserve"> PAGEREF _Toc184403442 \h </w:instrText>
            </w:r>
            <w:r>
              <w:rPr>
                <w:noProof/>
                <w:webHidden/>
              </w:rPr>
            </w:r>
            <w:r>
              <w:rPr>
                <w:noProof/>
                <w:webHidden/>
              </w:rPr>
              <w:fldChar w:fldCharType="separate"/>
            </w:r>
            <w:r>
              <w:rPr>
                <w:noProof/>
                <w:webHidden/>
              </w:rPr>
              <w:t>41</w:t>
            </w:r>
            <w:r>
              <w:rPr>
                <w:noProof/>
                <w:webHidden/>
              </w:rPr>
              <w:fldChar w:fldCharType="end"/>
            </w:r>
          </w:hyperlink>
        </w:p>
        <w:p w14:paraId="5E390E8D" w14:textId="460B90D5" w:rsidR="008A2576" w:rsidRDefault="008A2576">
          <w:pPr>
            <w:pStyle w:val="TOC3"/>
            <w:tabs>
              <w:tab w:val="left" w:pos="1200"/>
              <w:tab w:val="right" w:leader="dot" w:pos="9016"/>
            </w:tabs>
            <w:rPr>
              <w:rFonts w:eastAsiaTheme="minorEastAsia" w:cstheme="minorBidi"/>
              <w:noProof/>
              <w:sz w:val="24"/>
              <w:szCs w:val="24"/>
              <w:lang w:eastAsia="en-GB"/>
            </w:rPr>
          </w:pPr>
          <w:hyperlink w:anchor="_Toc184403443" w:history="1">
            <w:r w:rsidRPr="0073523E">
              <w:rPr>
                <w:rStyle w:val="Hyperlink"/>
                <w:noProof/>
              </w:rPr>
              <w:t>3.5.2.</w:t>
            </w:r>
            <w:r>
              <w:rPr>
                <w:rFonts w:eastAsiaTheme="minorEastAsia" w:cstheme="minorBidi"/>
                <w:noProof/>
                <w:sz w:val="24"/>
                <w:szCs w:val="24"/>
                <w:lang w:eastAsia="en-GB"/>
              </w:rPr>
              <w:tab/>
            </w:r>
            <w:r w:rsidRPr="0073523E">
              <w:rPr>
                <w:rStyle w:val="Hyperlink"/>
                <w:noProof/>
              </w:rPr>
              <w:t>Technical Criteria</w:t>
            </w:r>
            <w:r>
              <w:rPr>
                <w:noProof/>
                <w:webHidden/>
              </w:rPr>
              <w:tab/>
            </w:r>
            <w:r>
              <w:rPr>
                <w:noProof/>
                <w:webHidden/>
              </w:rPr>
              <w:fldChar w:fldCharType="begin"/>
            </w:r>
            <w:r>
              <w:rPr>
                <w:noProof/>
                <w:webHidden/>
              </w:rPr>
              <w:instrText xml:space="preserve"> PAGEREF _Toc184403443 \h </w:instrText>
            </w:r>
            <w:r>
              <w:rPr>
                <w:noProof/>
                <w:webHidden/>
              </w:rPr>
            </w:r>
            <w:r>
              <w:rPr>
                <w:noProof/>
                <w:webHidden/>
              </w:rPr>
              <w:fldChar w:fldCharType="separate"/>
            </w:r>
            <w:r>
              <w:rPr>
                <w:noProof/>
                <w:webHidden/>
              </w:rPr>
              <w:t>42</w:t>
            </w:r>
            <w:r>
              <w:rPr>
                <w:noProof/>
                <w:webHidden/>
              </w:rPr>
              <w:fldChar w:fldCharType="end"/>
            </w:r>
          </w:hyperlink>
        </w:p>
        <w:p w14:paraId="4DF02F8F" w14:textId="3EB4C242"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44" w:history="1">
            <w:r w:rsidRPr="0073523E">
              <w:rPr>
                <w:rStyle w:val="Hyperlink"/>
                <w:noProof/>
              </w:rPr>
              <w:t>3.6.</w:t>
            </w:r>
            <w:r>
              <w:rPr>
                <w:rFonts w:eastAsiaTheme="minorEastAsia" w:cstheme="minorBidi"/>
                <w:b w:val="0"/>
                <w:bCs w:val="0"/>
                <w:noProof/>
                <w:sz w:val="24"/>
                <w:szCs w:val="24"/>
                <w:lang w:eastAsia="en-GB"/>
              </w:rPr>
              <w:tab/>
            </w:r>
            <w:r w:rsidRPr="0073523E">
              <w:rPr>
                <w:rStyle w:val="Hyperlink"/>
                <w:noProof/>
              </w:rPr>
              <w:t>Concluding remarks</w:t>
            </w:r>
            <w:r>
              <w:rPr>
                <w:noProof/>
                <w:webHidden/>
              </w:rPr>
              <w:tab/>
            </w:r>
            <w:r>
              <w:rPr>
                <w:noProof/>
                <w:webHidden/>
              </w:rPr>
              <w:fldChar w:fldCharType="begin"/>
            </w:r>
            <w:r>
              <w:rPr>
                <w:noProof/>
                <w:webHidden/>
              </w:rPr>
              <w:instrText xml:space="preserve"> PAGEREF _Toc184403444 \h </w:instrText>
            </w:r>
            <w:r>
              <w:rPr>
                <w:noProof/>
                <w:webHidden/>
              </w:rPr>
            </w:r>
            <w:r>
              <w:rPr>
                <w:noProof/>
                <w:webHidden/>
              </w:rPr>
              <w:fldChar w:fldCharType="separate"/>
            </w:r>
            <w:r>
              <w:rPr>
                <w:noProof/>
                <w:webHidden/>
              </w:rPr>
              <w:t>45</w:t>
            </w:r>
            <w:r>
              <w:rPr>
                <w:noProof/>
                <w:webHidden/>
              </w:rPr>
              <w:fldChar w:fldCharType="end"/>
            </w:r>
          </w:hyperlink>
        </w:p>
        <w:p w14:paraId="125D4FDA" w14:textId="3CF12607" w:rsidR="008A2576" w:rsidRDefault="008A2576">
          <w:pPr>
            <w:pStyle w:val="TOC3"/>
            <w:tabs>
              <w:tab w:val="left" w:pos="1200"/>
              <w:tab w:val="right" w:leader="dot" w:pos="9016"/>
            </w:tabs>
            <w:rPr>
              <w:rFonts w:eastAsiaTheme="minorEastAsia" w:cstheme="minorBidi"/>
              <w:noProof/>
              <w:sz w:val="24"/>
              <w:szCs w:val="24"/>
              <w:lang w:eastAsia="en-GB"/>
            </w:rPr>
          </w:pPr>
          <w:hyperlink w:anchor="_Toc184403445" w:history="1">
            <w:r w:rsidRPr="0073523E">
              <w:rPr>
                <w:rStyle w:val="Hyperlink"/>
                <w:noProof/>
              </w:rPr>
              <w:t>3.6.1.</w:t>
            </w:r>
            <w:r>
              <w:rPr>
                <w:rFonts w:eastAsiaTheme="minorEastAsia" w:cstheme="minorBidi"/>
                <w:noProof/>
                <w:sz w:val="24"/>
                <w:szCs w:val="24"/>
                <w:lang w:eastAsia="en-GB"/>
              </w:rPr>
              <w:tab/>
            </w:r>
            <w:r w:rsidRPr="0073523E">
              <w:rPr>
                <w:rStyle w:val="Hyperlink"/>
                <w:noProof/>
              </w:rPr>
              <w:t>Technical Criteria</w:t>
            </w:r>
            <w:r>
              <w:rPr>
                <w:noProof/>
                <w:webHidden/>
              </w:rPr>
              <w:tab/>
            </w:r>
            <w:r>
              <w:rPr>
                <w:noProof/>
                <w:webHidden/>
              </w:rPr>
              <w:fldChar w:fldCharType="begin"/>
            </w:r>
            <w:r>
              <w:rPr>
                <w:noProof/>
                <w:webHidden/>
              </w:rPr>
              <w:instrText xml:space="preserve"> PAGEREF _Toc184403445 \h </w:instrText>
            </w:r>
            <w:r>
              <w:rPr>
                <w:noProof/>
                <w:webHidden/>
              </w:rPr>
            </w:r>
            <w:r>
              <w:rPr>
                <w:noProof/>
                <w:webHidden/>
              </w:rPr>
              <w:fldChar w:fldCharType="separate"/>
            </w:r>
            <w:r>
              <w:rPr>
                <w:noProof/>
                <w:webHidden/>
              </w:rPr>
              <w:t>45</w:t>
            </w:r>
            <w:r>
              <w:rPr>
                <w:noProof/>
                <w:webHidden/>
              </w:rPr>
              <w:fldChar w:fldCharType="end"/>
            </w:r>
          </w:hyperlink>
        </w:p>
        <w:p w14:paraId="20CD1BF0" w14:textId="62D35816"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46" w:history="1">
            <w:r w:rsidRPr="0073523E">
              <w:rPr>
                <w:rStyle w:val="Hyperlink"/>
                <w:noProof/>
              </w:rPr>
              <w:t>3.6.2.</w:t>
            </w:r>
            <w:r>
              <w:rPr>
                <w:rFonts w:eastAsiaTheme="minorEastAsia" w:cstheme="minorBidi"/>
                <w:noProof/>
                <w:sz w:val="24"/>
                <w:szCs w:val="24"/>
                <w:lang w:eastAsia="en-GB"/>
              </w:rPr>
              <w:tab/>
            </w:r>
            <w:r w:rsidRPr="0073523E">
              <w:rPr>
                <w:rStyle w:val="Hyperlink"/>
                <w:noProof/>
              </w:rPr>
              <w:t>Non-technological Criteria</w:t>
            </w:r>
            <w:r>
              <w:rPr>
                <w:noProof/>
                <w:webHidden/>
              </w:rPr>
              <w:tab/>
            </w:r>
            <w:r>
              <w:rPr>
                <w:noProof/>
                <w:webHidden/>
              </w:rPr>
              <w:fldChar w:fldCharType="begin"/>
            </w:r>
            <w:r>
              <w:rPr>
                <w:noProof/>
                <w:webHidden/>
              </w:rPr>
              <w:instrText xml:space="preserve"> PAGEREF _Toc184403446 \h </w:instrText>
            </w:r>
            <w:r>
              <w:rPr>
                <w:noProof/>
                <w:webHidden/>
              </w:rPr>
            </w:r>
            <w:r>
              <w:rPr>
                <w:noProof/>
                <w:webHidden/>
              </w:rPr>
              <w:fldChar w:fldCharType="separate"/>
            </w:r>
            <w:r>
              <w:rPr>
                <w:noProof/>
                <w:webHidden/>
              </w:rPr>
              <w:t>46</w:t>
            </w:r>
            <w:r>
              <w:rPr>
                <w:noProof/>
                <w:webHidden/>
              </w:rPr>
              <w:fldChar w:fldCharType="end"/>
            </w:r>
          </w:hyperlink>
        </w:p>
        <w:p w14:paraId="77B5936F" w14:textId="63002E67" w:rsidR="008A2576" w:rsidRDefault="008A2576">
          <w:pPr>
            <w:pStyle w:val="TOC1"/>
            <w:tabs>
              <w:tab w:val="left" w:pos="480"/>
              <w:tab w:val="right" w:leader="dot" w:pos="9016"/>
            </w:tabs>
            <w:rPr>
              <w:rFonts w:eastAsiaTheme="minorEastAsia" w:cstheme="minorBidi"/>
              <w:b w:val="0"/>
              <w:bCs w:val="0"/>
              <w:i w:val="0"/>
              <w:iCs w:val="0"/>
              <w:noProof/>
              <w:lang w:eastAsia="en-GB"/>
            </w:rPr>
          </w:pPr>
          <w:hyperlink w:anchor="_Toc184403447" w:history="1">
            <w:r w:rsidRPr="0073523E">
              <w:rPr>
                <w:rStyle w:val="Hyperlink"/>
                <w:noProof/>
              </w:rPr>
              <w:t>4.</w:t>
            </w:r>
            <w:r>
              <w:rPr>
                <w:rFonts w:eastAsiaTheme="minorEastAsia" w:cstheme="minorBidi"/>
                <w:b w:val="0"/>
                <w:bCs w:val="0"/>
                <w:i w:val="0"/>
                <w:iCs w:val="0"/>
                <w:noProof/>
                <w:lang w:eastAsia="en-GB"/>
              </w:rPr>
              <w:tab/>
            </w:r>
            <w:r w:rsidRPr="0073523E">
              <w:rPr>
                <w:rStyle w:val="Hyperlink"/>
                <w:noProof/>
              </w:rPr>
              <w:t>Results Techno-Economic Analysis</w:t>
            </w:r>
            <w:r>
              <w:rPr>
                <w:noProof/>
                <w:webHidden/>
              </w:rPr>
              <w:tab/>
            </w:r>
            <w:r>
              <w:rPr>
                <w:noProof/>
                <w:webHidden/>
              </w:rPr>
              <w:fldChar w:fldCharType="begin"/>
            </w:r>
            <w:r>
              <w:rPr>
                <w:noProof/>
                <w:webHidden/>
              </w:rPr>
              <w:instrText xml:space="preserve"> PAGEREF _Toc184403447 \h </w:instrText>
            </w:r>
            <w:r>
              <w:rPr>
                <w:noProof/>
                <w:webHidden/>
              </w:rPr>
            </w:r>
            <w:r>
              <w:rPr>
                <w:noProof/>
                <w:webHidden/>
              </w:rPr>
              <w:fldChar w:fldCharType="separate"/>
            </w:r>
            <w:r>
              <w:rPr>
                <w:noProof/>
                <w:webHidden/>
              </w:rPr>
              <w:t>48</w:t>
            </w:r>
            <w:r>
              <w:rPr>
                <w:noProof/>
                <w:webHidden/>
              </w:rPr>
              <w:fldChar w:fldCharType="end"/>
            </w:r>
          </w:hyperlink>
        </w:p>
        <w:p w14:paraId="0BE613F2" w14:textId="2CD8CA11"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48" w:history="1">
            <w:r w:rsidRPr="0073523E">
              <w:rPr>
                <w:rStyle w:val="Hyperlink"/>
                <w:noProof/>
              </w:rPr>
              <w:t>4.1.</w:t>
            </w:r>
            <w:r>
              <w:rPr>
                <w:rFonts w:eastAsiaTheme="minorEastAsia" w:cstheme="minorBidi"/>
                <w:b w:val="0"/>
                <w:bCs w:val="0"/>
                <w:noProof/>
                <w:sz w:val="24"/>
                <w:szCs w:val="24"/>
                <w:lang w:eastAsia="en-GB"/>
              </w:rPr>
              <w:tab/>
            </w:r>
            <w:r w:rsidRPr="0073523E">
              <w:rPr>
                <w:rStyle w:val="Hyperlink"/>
                <w:noProof/>
              </w:rPr>
              <w:t>Model Framework and Assumptions</w:t>
            </w:r>
            <w:r>
              <w:rPr>
                <w:noProof/>
                <w:webHidden/>
              </w:rPr>
              <w:tab/>
            </w:r>
            <w:r>
              <w:rPr>
                <w:noProof/>
                <w:webHidden/>
              </w:rPr>
              <w:fldChar w:fldCharType="begin"/>
            </w:r>
            <w:r>
              <w:rPr>
                <w:noProof/>
                <w:webHidden/>
              </w:rPr>
              <w:instrText xml:space="preserve"> PAGEREF _Toc184403448 \h </w:instrText>
            </w:r>
            <w:r>
              <w:rPr>
                <w:noProof/>
                <w:webHidden/>
              </w:rPr>
            </w:r>
            <w:r>
              <w:rPr>
                <w:noProof/>
                <w:webHidden/>
              </w:rPr>
              <w:fldChar w:fldCharType="separate"/>
            </w:r>
            <w:r>
              <w:rPr>
                <w:noProof/>
                <w:webHidden/>
              </w:rPr>
              <w:t>48</w:t>
            </w:r>
            <w:r>
              <w:rPr>
                <w:noProof/>
                <w:webHidden/>
              </w:rPr>
              <w:fldChar w:fldCharType="end"/>
            </w:r>
          </w:hyperlink>
        </w:p>
        <w:p w14:paraId="1497DFBE" w14:textId="23D990C1"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49" w:history="1">
            <w:r w:rsidRPr="0073523E">
              <w:rPr>
                <w:rStyle w:val="Hyperlink"/>
                <w:noProof/>
              </w:rPr>
              <w:t>4.1.1.</w:t>
            </w:r>
            <w:r>
              <w:rPr>
                <w:rFonts w:eastAsiaTheme="minorEastAsia" w:cstheme="minorBidi"/>
                <w:noProof/>
                <w:sz w:val="24"/>
                <w:szCs w:val="24"/>
                <w:lang w:eastAsia="en-GB"/>
              </w:rPr>
              <w:tab/>
            </w:r>
            <w:r w:rsidRPr="0073523E">
              <w:rPr>
                <w:rStyle w:val="Hyperlink"/>
                <w:noProof/>
              </w:rPr>
              <w:t>CAPEX Degression Curve, Efficiencies and Energy Requirements</w:t>
            </w:r>
            <w:r>
              <w:rPr>
                <w:noProof/>
                <w:webHidden/>
              </w:rPr>
              <w:tab/>
            </w:r>
            <w:r>
              <w:rPr>
                <w:noProof/>
                <w:webHidden/>
              </w:rPr>
              <w:fldChar w:fldCharType="begin"/>
            </w:r>
            <w:r>
              <w:rPr>
                <w:noProof/>
                <w:webHidden/>
              </w:rPr>
              <w:instrText xml:space="preserve"> PAGEREF _Toc184403449 \h </w:instrText>
            </w:r>
            <w:r>
              <w:rPr>
                <w:noProof/>
                <w:webHidden/>
              </w:rPr>
            </w:r>
            <w:r>
              <w:rPr>
                <w:noProof/>
                <w:webHidden/>
              </w:rPr>
              <w:fldChar w:fldCharType="separate"/>
            </w:r>
            <w:r>
              <w:rPr>
                <w:noProof/>
                <w:webHidden/>
              </w:rPr>
              <w:t>48</w:t>
            </w:r>
            <w:r>
              <w:rPr>
                <w:noProof/>
                <w:webHidden/>
              </w:rPr>
              <w:fldChar w:fldCharType="end"/>
            </w:r>
          </w:hyperlink>
        </w:p>
        <w:p w14:paraId="216F31AD" w14:textId="05544039"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50" w:history="1">
            <w:r w:rsidRPr="0073523E">
              <w:rPr>
                <w:rStyle w:val="Hyperlink"/>
                <w:noProof/>
              </w:rPr>
              <w:t>4.1.2.</w:t>
            </w:r>
            <w:r>
              <w:rPr>
                <w:rFonts w:eastAsiaTheme="minorEastAsia" w:cstheme="minorBidi"/>
                <w:noProof/>
                <w:sz w:val="24"/>
                <w:szCs w:val="24"/>
                <w:lang w:eastAsia="en-GB"/>
              </w:rPr>
              <w:tab/>
            </w:r>
            <w:r w:rsidRPr="0073523E">
              <w:rPr>
                <w:rStyle w:val="Hyperlink"/>
                <w:noProof/>
              </w:rPr>
              <w:t>Cost of Carbon</w:t>
            </w:r>
            <w:r>
              <w:rPr>
                <w:noProof/>
                <w:webHidden/>
              </w:rPr>
              <w:tab/>
            </w:r>
            <w:r>
              <w:rPr>
                <w:noProof/>
                <w:webHidden/>
              </w:rPr>
              <w:fldChar w:fldCharType="begin"/>
            </w:r>
            <w:r>
              <w:rPr>
                <w:noProof/>
                <w:webHidden/>
              </w:rPr>
              <w:instrText xml:space="preserve"> PAGEREF _Toc184403450 \h </w:instrText>
            </w:r>
            <w:r>
              <w:rPr>
                <w:noProof/>
                <w:webHidden/>
              </w:rPr>
            </w:r>
            <w:r>
              <w:rPr>
                <w:noProof/>
                <w:webHidden/>
              </w:rPr>
              <w:fldChar w:fldCharType="separate"/>
            </w:r>
            <w:r>
              <w:rPr>
                <w:noProof/>
                <w:webHidden/>
              </w:rPr>
              <w:t>51</w:t>
            </w:r>
            <w:r>
              <w:rPr>
                <w:noProof/>
                <w:webHidden/>
              </w:rPr>
              <w:fldChar w:fldCharType="end"/>
            </w:r>
          </w:hyperlink>
        </w:p>
        <w:p w14:paraId="41D16F6C" w14:textId="395AA313"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51" w:history="1">
            <w:r w:rsidRPr="0073523E">
              <w:rPr>
                <w:rStyle w:val="Hyperlink"/>
                <w:noProof/>
              </w:rPr>
              <w:t>4.1.3.</w:t>
            </w:r>
            <w:r>
              <w:rPr>
                <w:rFonts w:eastAsiaTheme="minorEastAsia" w:cstheme="minorBidi"/>
                <w:noProof/>
                <w:sz w:val="24"/>
                <w:szCs w:val="24"/>
                <w:lang w:eastAsia="en-GB"/>
              </w:rPr>
              <w:tab/>
            </w:r>
            <w:r w:rsidRPr="0073523E">
              <w:rPr>
                <w:rStyle w:val="Hyperlink"/>
                <w:noProof/>
              </w:rPr>
              <w:t>EU ETS Price</w:t>
            </w:r>
            <w:r>
              <w:rPr>
                <w:noProof/>
                <w:webHidden/>
              </w:rPr>
              <w:tab/>
            </w:r>
            <w:r>
              <w:rPr>
                <w:noProof/>
                <w:webHidden/>
              </w:rPr>
              <w:fldChar w:fldCharType="begin"/>
            </w:r>
            <w:r>
              <w:rPr>
                <w:noProof/>
                <w:webHidden/>
              </w:rPr>
              <w:instrText xml:space="preserve"> PAGEREF _Toc184403451 \h </w:instrText>
            </w:r>
            <w:r>
              <w:rPr>
                <w:noProof/>
                <w:webHidden/>
              </w:rPr>
            </w:r>
            <w:r>
              <w:rPr>
                <w:noProof/>
                <w:webHidden/>
              </w:rPr>
              <w:fldChar w:fldCharType="separate"/>
            </w:r>
            <w:r>
              <w:rPr>
                <w:noProof/>
                <w:webHidden/>
              </w:rPr>
              <w:t>53</w:t>
            </w:r>
            <w:r>
              <w:rPr>
                <w:noProof/>
                <w:webHidden/>
              </w:rPr>
              <w:fldChar w:fldCharType="end"/>
            </w:r>
          </w:hyperlink>
        </w:p>
        <w:p w14:paraId="1AAC5735" w14:textId="0579CD7C"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52" w:history="1">
            <w:r w:rsidRPr="0073523E">
              <w:rPr>
                <w:rStyle w:val="Hyperlink"/>
                <w:noProof/>
              </w:rPr>
              <w:t>4.1.4.</w:t>
            </w:r>
            <w:r>
              <w:rPr>
                <w:rFonts w:eastAsiaTheme="minorEastAsia" w:cstheme="minorBidi"/>
                <w:noProof/>
                <w:sz w:val="24"/>
                <w:szCs w:val="24"/>
                <w:lang w:eastAsia="en-GB"/>
              </w:rPr>
              <w:tab/>
            </w:r>
            <w:r w:rsidRPr="0073523E">
              <w:rPr>
                <w:rStyle w:val="Hyperlink"/>
                <w:noProof/>
              </w:rPr>
              <w:t>CO</w:t>
            </w:r>
            <w:r w:rsidRPr="0073523E">
              <w:rPr>
                <w:rStyle w:val="Hyperlink"/>
                <w:noProof/>
                <w:vertAlign w:val="subscript"/>
              </w:rPr>
              <w:t>2</w:t>
            </w:r>
            <w:r w:rsidRPr="0073523E">
              <w:rPr>
                <w:rStyle w:val="Hyperlink"/>
                <w:noProof/>
              </w:rPr>
              <w:t xml:space="preserve"> Efficiencies</w:t>
            </w:r>
            <w:r>
              <w:rPr>
                <w:noProof/>
                <w:webHidden/>
              </w:rPr>
              <w:tab/>
            </w:r>
            <w:r>
              <w:rPr>
                <w:noProof/>
                <w:webHidden/>
              </w:rPr>
              <w:fldChar w:fldCharType="begin"/>
            </w:r>
            <w:r>
              <w:rPr>
                <w:noProof/>
                <w:webHidden/>
              </w:rPr>
              <w:instrText xml:space="preserve"> PAGEREF _Toc184403452 \h </w:instrText>
            </w:r>
            <w:r>
              <w:rPr>
                <w:noProof/>
                <w:webHidden/>
              </w:rPr>
            </w:r>
            <w:r>
              <w:rPr>
                <w:noProof/>
                <w:webHidden/>
              </w:rPr>
              <w:fldChar w:fldCharType="separate"/>
            </w:r>
            <w:r>
              <w:rPr>
                <w:noProof/>
                <w:webHidden/>
              </w:rPr>
              <w:t>54</w:t>
            </w:r>
            <w:r>
              <w:rPr>
                <w:noProof/>
                <w:webHidden/>
              </w:rPr>
              <w:fldChar w:fldCharType="end"/>
            </w:r>
          </w:hyperlink>
        </w:p>
        <w:p w14:paraId="609A3EFB" w14:textId="12B9EE3B"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53" w:history="1">
            <w:r w:rsidRPr="0073523E">
              <w:rPr>
                <w:rStyle w:val="Hyperlink"/>
                <w:noProof/>
              </w:rPr>
              <w:t>4.1.5.</w:t>
            </w:r>
            <w:r>
              <w:rPr>
                <w:rFonts w:eastAsiaTheme="minorEastAsia" w:cstheme="minorBidi"/>
                <w:noProof/>
                <w:sz w:val="24"/>
                <w:szCs w:val="24"/>
                <w:lang w:eastAsia="en-GB"/>
              </w:rPr>
              <w:tab/>
            </w:r>
            <w:r w:rsidRPr="0073523E">
              <w:rPr>
                <w:rStyle w:val="Hyperlink"/>
                <w:noProof/>
              </w:rPr>
              <w:t>Fixed OPEX and Lifetime</w:t>
            </w:r>
            <w:r>
              <w:rPr>
                <w:noProof/>
                <w:webHidden/>
              </w:rPr>
              <w:tab/>
            </w:r>
            <w:r>
              <w:rPr>
                <w:noProof/>
                <w:webHidden/>
              </w:rPr>
              <w:fldChar w:fldCharType="begin"/>
            </w:r>
            <w:r>
              <w:rPr>
                <w:noProof/>
                <w:webHidden/>
              </w:rPr>
              <w:instrText xml:space="preserve"> PAGEREF _Toc184403453 \h </w:instrText>
            </w:r>
            <w:r>
              <w:rPr>
                <w:noProof/>
                <w:webHidden/>
              </w:rPr>
            </w:r>
            <w:r>
              <w:rPr>
                <w:noProof/>
                <w:webHidden/>
              </w:rPr>
              <w:fldChar w:fldCharType="separate"/>
            </w:r>
            <w:r>
              <w:rPr>
                <w:noProof/>
                <w:webHidden/>
              </w:rPr>
              <w:t>55</w:t>
            </w:r>
            <w:r>
              <w:rPr>
                <w:noProof/>
                <w:webHidden/>
              </w:rPr>
              <w:fldChar w:fldCharType="end"/>
            </w:r>
          </w:hyperlink>
        </w:p>
        <w:p w14:paraId="186EFBE7" w14:textId="2C78B17C"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54" w:history="1">
            <w:r w:rsidRPr="0073523E">
              <w:rPr>
                <w:rStyle w:val="Hyperlink"/>
                <w:noProof/>
              </w:rPr>
              <w:t>4.1.6.</w:t>
            </w:r>
            <w:r>
              <w:rPr>
                <w:rFonts w:eastAsiaTheme="minorEastAsia" w:cstheme="minorBidi"/>
                <w:noProof/>
                <w:sz w:val="24"/>
                <w:szCs w:val="24"/>
                <w:lang w:eastAsia="en-GB"/>
              </w:rPr>
              <w:tab/>
            </w:r>
            <w:r w:rsidRPr="0073523E">
              <w:rPr>
                <w:rStyle w:val="Hyperlink"/>
                <w:noProof/>
              </w:rPr>
              <w:t>Economic assumptions</w:t>
            </w:r>
            <w:r>
              <w:rPr>
                <w:noProof/>
                <w:webHidden/>
              </w:rPr>
              <w:tab/>
            </w:r>
            <w:r>
              <w:rPr>
                <w:noProof/>
                <w:webHidden/>
              </w:rPr>
              <w:fldChar w:fldCharType="begin"/>
            </w:r>
            <w:r>
              <w:rPr>
                <w:noProof/>
                <w:webHidden/>
              </w:rPr>
              <w:instrText xml:space="preserve"> PAGEREF _Toc184403454 \h </w:instrText>
            </w:r>
            <w:r>
              <w:rPr>
                <w:noProof/>
                <w:webHidden/>
              </w:rPr>
            </w:r>
            <w:r>
              <w:rPr>
                <w:noProof/>
                <w:webHidden/>
              </w:rPr>
              <w:fldChar w:fldCharType="separate"/>
            </w:r>
            <w:r>
              <w:rPr>
                <w:noProof/>
                <w:webHidden/>
              </w:rPr>
              <w:t>56</w:t>
            </w:r>
            <w:r>
              <w:rPr>
                <w:noProof/>
                <w:webHidden/>
              </w:rPr>
              <w:fldChar w:fldCharType="end"/>
            </w:r>
          </w:hyperlink>
        </w:p>
        <w:p w14:paraId="74C282CA" w14:textId="53853BC1"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55" w:history="1">
            <w:r w:rsidRPr="0073523E">
              <w:rPr>
                <w:rStyle w:val="Hyperlink"/>
                <w:noProof/>
              </w:rPr>
              <w:t>4.2.</w:t>
            </w:r>
            <w:r>
              <w:rPr>
                <w:rFonts w:eastAsiaTheme="minorEastAsia" w:cstheme="minorBidi"/>
                <w:b w:val="0"/>
                <w:bCs w:val="0"/>
                <w:noProof/>
                <w:sz w:val="24"/>
                <w:szCs w:val="24"/>
                <w:lang w:eastAsia="en-GB"/>
              </w:rPr>
              <w:tab/>
            </w:r>
            <w:r w:rsidRPr="0073523E">
              <w:rPr>
                <w:rStyle w:val="Hyperlink"/>
                <w:noProof/>
              </w:rPr>
              <w:t>Levelized Cost Analysis</w:t>
            </w:r>
            <w:r>
              <w:rPr>
                <w:noProof/>
                <w:webHidden/>
              </w:rPr>
              <w:tab/>
            </w:r>
            <w:r>
              <w:rPr>
                <w:noProof/>
                <w:webHidden/>
              </w:rPr>
              <w:fldChar w:fldCharType="begin"/>
            </w:r>
            <w:r>
              <w:rPr>
                <w:noProof/>
                <w:webHidden/>
              </w:rPr>
              <w:instrText xml:space="preserve"> PAGEREF _Toc184403455 \h </w:instrText>
            </w:r>
            <w:r>
              <w:rPr>
                <w:noProof/>
                <w:webHidden/>
              </w:rPr>
            </w:r>
            <w:r>
              <w:rPr>
                <w:noProof/>
                <w:webHidden/>
              </w:rPr>
              <w:fldChar w:fldCharType="separate"/>
            </w:r>
            <w:r>
              <w:rPr>
                <w:noProof/>
                <w:webHidden/>
              </w:rPr>
              <w:t>57</w:t>
            </w:r>
            <w:r>
              <w:rPr>
                <w:noProof/>
                <w:webHidden/>
              </w:rPr>
              <w:fldChar w:fldCharType="end"/>
            </w:r>
          </w:hyperlink>
        </w:p>
        <w:p w14:paraId="65207039" w14:textId="074094B3"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56" w:history="1">
            <w:r w:rsidRPr="0073523E">
              <w:rPr>
                <w:rStyle w:val="Hyperlink"/>
                <w:noProof/>
              </w:rPr>
              <w:t>4.2.1.</w:t>
            </w:r>
            <w:r>
              <w:rPr>
                <w:rFonts w:eastAsiaTheme="minorEastAsia" w:cstheme="minorBidi"/>
                <w:noProof/>
                <w:sz w:val="24"/>
                <w:szCs w:val="24"/>
                <w:lang w:eastAsia="en-GB"/>
              </w:rPr>
              <w:tab/>
            </w:r>
            <w:r w:rsidRPr="0073523E">
              <w:rPr>
                <w:rStyle w:val="Hyperlink"/>
                <w:noProof/>
              </w:rPr>
              <w:t>Levelized cost of CO2</w:t>
            </w:r>
            <w:r>
              <w:rPr>
                <w:noProof/>
                <w:webHidden/>
              </w:rPr>
              <w:tab/>
            </w:r>
            <w:r>
              <w:rPr>
                <w:noProof/>
                <w:webHidden/>
              </w:rPr>
              <w:fldChar w:fldCharType="begin"/>
            </w:r>
            <w:r>
              <w:rPr>
                <w:noProof/>
                <w:webHidden/>
              </w:rPr>
              <w:instrText xml:space="preserve"> PAGEREF _Toc184403456 \h </w:instrText>
            </w:r>
            <w:r>
              <w:rPr>
                <w:noProof/>
                <w:webHidden/>
              </w:rPr>
            </w:r>
            <w:r>
              <w:rPr>
                <w:noProof/>
                <w:webHidden/>
              </w:rPr>
              <w:fldChar w:fldCharType="separate"/>
            </w:r>
            <w:r>
              <w:rPr>
                <w:noProof/>
                <w:webHidden/>
              </w:rPr>
              <w:t>57</w:t>
            </w:r>
            <w:r>
              <w:rPr>
                <w:noProof/>
                <w:webHidden/>
              </w:rPr>
              <w:fldChar w:fldCharType="end"/>
            </w:r>
          </w:hyperlink>
        </w:p>
        <w:p w14:paraId="287E29AD" w14:textId="06B02D48"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57" w:history="1">
            <w:r w:rsidRPr="0073523E">
              <w:rPr>
                <w:rStyle w:val="Hyperlink"/>
                <w:noProof/>
              </w:rPr>
              <w:t>4.2.2.</w:t>
            </w:r>
            <w:r>
              <w:rPr>
                <w:rFonts w:eastAsiaTheme="minorEastAsia" w:cstheme="minorBidi"/>
                <w:noProof/>
                <w:sz w:val="24"/>
                <w:szCs w:val="24"/>
                <w:lang w:eastAsia="en-GB"/>
              </w:rPr>
              <w:tab/>
            </w:r>
            <w:r w:rsidRPr="0073523E">
              <w:rPr>
                <w:rStyle w:val="Hyperlink"/>
                <w:noProof/>
              </w:rPr>
              <w:t>Levelized cost of eSAF Outlook</w:t>
            </w:r>
            <w:r>
              <w:rPr>
                <w:noProof/>
                <w:webHidden/>
              </w:rPr>
              <w:tab/>
            </w:r>
            <w:r>
              <w:rPr>
                <w:noProof/>
                <w:webHidden/>
              </w:rPr>
              <w:fldChar w:fldCharType="begin"/>
            </w:r>
            <w:r>
              <w:rPr>
                <w:noProof/>
                <w:webHidden/>
              </w:rPr>
              <w:instrText xml:space="preserve"> PAGEREF _Toc184403457 \h </w:instrText>
            </w:r>
            <w:r>
              <w:rPr>
                <w:noProof/>
                <w:webHidden/>
              </w:rPr>
            </w:r>
            <w:r>
              <w:rPr>
                <w:noProof/>
                <w:webHidden/>
              </w:rPr>
              <w:fldChar w:fldCharType="separate"/>
            </w:r>
            <w:r>
              <w:rPr>
                <w:noProof/>
                <w:webHidden/>
              </w:rPr>
              <w:t>58</w:t>
            </w:r>
            <w:r>
              <w:rPr>
                <w:noProof/>
                <w:webHidden/>
              </w:rPr>
              <w:fldChar w:fldCharType="end"/>
            </w:r>
          </w:hyperlink>
        </w:p>
        <w:p w14:paraId="0B11AC11" w14:textId="3C7693A5"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58" w:history="1">
            <w:r w:rsidRPr="0073523E">
              <w:rPr>
                <w:rStyle w:val="Hyperlink"/>
                <w:noProof/>
              </w:rPr>
              <w:t>4.3.</w:t>
            </w:r>
            <w:r>
              <w:rPr>
                <w:rFonts w:eastAsiaTheme="minorEastAsia" w:cstheme="minorBidi"/>
                <w:b w:val="0"/>
                <w:bCs w:val="0"/>
                <w:noProof/>
                <w:sz w:val="24"/>
                <w:szCs w:val="24"/>
                <w:lang w:eastAsia="en-GB"/>
              </w:rPr>
              <w:tab/>
            </w:r>
            <w:r w:rsidRPr="0073523E">
              <w:rPr>
                <w:rStyle w:val="Hyperlink"/>
                <w:noProof/>
              </w:rPr>
              <w:t>Levelized Cost Breakdown</w:t>
            </w:r>
            <w:r>
              <w:rPr>
                <w:noProof/>
                <w:webHidden/>
              </w:rPr>
              <w:tab/>
            </w:r>
            <w:r>
              <w:rPr>
                <w:noProof/>
                <w:webHidden/>
              </w:rPr>
              <w:fldChar w:fldCharType="begin"/>
            </w:r>
            <w:r>
              <w:rPr>
                <w:noProof/>
                <w:webHidden/>
              </w:rPr>
              <w:instrText xml:space="preserve"> PAGEREF _Toc184403458 \h </w:instrText>
            </w:r>
            <w:r>
              <w:rPr>
                <w:noProof/>
                <w:webHidden/>
              </w:rPr>
            </w:r>
            <w:r>
              <w:rPr>
                <w:noProof/>
                <w:webHidden/>
              </w:rPr>
              <w:fldChar w:fldCharType="separate"/>
            </w:r>
            <w:r>
              <w:rPr>
                <w:noProof/>
                <w:webHidden/>
              </w:rPr>
              <w:t>59</w:t>
            </w:r>
            <w:r>
              <w:rPr>
                <w:noProof/>
                <w:webHidden/>
              </w:rPr>
              <w:fldChar w:fldCharType="end"/>
            </w:r>
          </w:hyperlink>
        </w:p>
        <w:p w14:paraId="4002AFF7" w14:textId="78DF4CC0"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59" w:history="1">
            <w:r w:rsidRPr="0073523E">
              <w:rPr>
                <w:rStyle w:val="Hyperlink"/>
                <w:noProof/>
              </w:rPr>
              <w:t>4.4.</w:t>
            </w:r>
            <w:r>
              <w:rPr>
                <w:rFonts w:eastAsiaTheme="minorEastAsia" w:cstheme="minorBidi"/>
                <w:b w:val="0"/>
                <w:bCs w:val="0"/>
                <w:noProof/>
                <w:sz w:val="24"/>
                <w:szCs w:val="24"/>
                <w:lang w:eastAsia="en-GB"/>
              </w:rPr>
              <w:tab/>
            </w:r>
            <w:r w:rsidRPr="0073523E">
              <w:rPr>
                <w:rStyle w:val="Hyperlink"/>
                <w:noProof/>
              </w:rPr>
              <w:t>Sensitivity Analysis</w:t>
            </w:r>
            <w:r>
              <w:rPr>
                <w:noProof/>
                <w:webHidden/>
              </w:rPr>
              <w:tab/>
            </w:r>
            <w:r>
              <w:rPr>
                <w:noProof/>
                <w:webHidden/>
              </w:rPr>
              <w:fldChar w:fldCharType="begin"/>
            </w:r>
            <w:r>
              <w:rPr>
                <w:noProof/>
                <w:webHidden/>
              </w:rPr>
              <w:instrText xml:space="preserve"> PAGEREF _Toc184403459 \h </w:instrText>
            </w:r>
            <w:r>
              <w:rPr>
                <w:noProof/>
                <w:webHidden/>
              </w:rPr>
            </w:r>
            <w:r>
              <w:rPr>
                <w:noProof/>
                <w:webHidden/>
              </w:rPr>
              <w:fldChar w:fldCharType="separate"/>
            </w:r>
            <w:r>
              <w:rPr>
                <w:noProof/>
                <w:webHidden/>
              </w:rPr>
              <w:t>64</w:t>
            </w:r>
            <w:r>
              <w:rPr>
                <w:noProof/>
                <w:webHidden/>
              </w:rPr>
              <w:fldChar w:fldCharType="end"/>
            </w:r>
          </w:hyperlink>
        </w:p>
        <w:p w14:paraId="42255B84" w14:textId="485FA89E"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60" w:history="1">
            <w:r w:rsidRPr="0073523E">
              <w:rPr>
                <w:rStyle w:val="Hyperlink"/>
                <w:noProof/>
              </w:rPr>
              <w:t>4.4.1.</w:t>
            </w:r>
            <w:r>
              <w:rPr>
                <w:rFonts w:eastAsiaTheme="minorEastAsia" w:cstheme="minorBidi"/>
                <w:noProof/>
                <w:sz w:val="24"/>
                <w:szCs w:val="24"/>
                <w:lang w:eastAsia="en-GB"/>
              </w:rPr>
              <w:tab/>
            </w:r>
            <w:r w:rsidRPr="0073523E">
              <w:rPr>
                <w:rStyle w:val="Hyperlink"/>
                <w:noProof/>
              </w:rPr>
              <w:t>Levelized cost of CO</w:t>
            </w:r>
            <w:r w:rsidRPr="0073523E">
              <w:rPr>
                <w:rStyle w:val="Hyperlink"/>
                <w:noProof/>
                <w:vertAlign w:val="subscript"/>
              </w:rPr>
              <w:t>2</w:t>
            </w:r>
            <w:r>
              <w:rPr>
                <w:noProof/>
                <w:webHidden/>
              </w:rPr>
              <w:tab/>
            </w:r>
            <w:r>
              <w:rPr>
                <w:noProof/>
                <w:webHidden/>
              </w:rPr>
              <w:fldChar w:fldCharType="begin"/>
            </w:r>
            <w:r>
              <w:rPr>
                <w:noProof/>
                <w:webHidden/>
              </w:rPr>
              <w:instrText xml:space="preserve"> PAGEREF _Toc184403460 \h </w:instrText>
            </w:r>
            <w:r>
              <w:rPr>
                <w:noProof/>
                <w:webHidden/>
              </w:rPr>
            </w:r>
            <w:r>
              <w:rPr>
                <w:noProof/>
                <w:webHidden/>
              </w:rPr>
              <w:fldChar w:fldCharType="separate"/>
            </w:r>
            <w:r>
              <w:rPr>
                <w:noProof/>
                <w:webHidden/>
              </w:rPr>
              <w:t>64</w:t>
            </w:r>
            <w:r>
              <w:rPr>
                <w:noProof/>
                <w:webHidden/>
              </w:rPr>
              <w:fldChar w:fldCharType="end"/>
            </w:r>
          </w:hyperlink>
        </w:p>
        <w:p w14:paraId="2E34A70E" w14:textId="0116CB97"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61" w:history="1">
            <w:r w:rsidRPr="0073523E">
              <w:rPr>
                <w:rStyle w:val="Hyperlink"/>
                <w:noProof/>
              </w:rPr>
              <w:t>4.4.2.</w:t>
            </w:r>
            <w:r>
              <w:rPr>
                <w:rFonts w:eastAsiaTheme="minorEastAsia" w:cstheme="minorBidi"/>
                <w:noProof/>
                <w:sz w:val="24"/>
                <w:szCs w:val="24"/>
                <w:lang w:eastAsia="en-GB"/>
              </w:rPr>
              <w:tab/>
            </w:r>
            <w:r w:rsidRPr="0073523E">
              <w:rPr>
                <w:rStyle w:val="Hyperlink"/>
                <w:noProof/>
              </w:rPr>
              <w:t>Levelized cost of eSAF</w:t>
            </w:r>
            <w:r>
              <w:rPr>
                <w:noProof/>
                <w:webHidden/>
              </w:rPr>
              <w:tab/>
            </w:r>
            <w:r>
              <w:rPr>
                <w:noProof/>
                <w:webHidden/>
              </w:rPr>
              <w:fldChar w:fldCharType="begin"/>
            </w:r>
            <w:r>
              <w:rPr>
                <w:noProof/>
                <w:webHidden/>
              </w:rPr>
              <w:instrText xml:space="preserve"> PAGEREF _Toc184403461 \h </w:instrText>
            </w:r>
            <w:r>
              <w:rPr>
                <w:noProof/>
                <w:webHidden/>
              </w:rPr>
            </w:r>
            <w:r>
              <w:rPr>
                <w:noProof/>
                <w:webHidden/>
              </w:rPr>
              <w:fldChar w:fldCharType="separate"/>
            </w:r>
            <w:r>
              <w:rPr>
                <w:noProof/>
                <w:webHidden/>
              </w:rPr>
              <w:t>65</w:t>
            </w:r>
            <w:r>
              <w:rPr>
                <w:noProof/>
                <w:webHidden/>
              </w:rPr>
              <w:fldChar w:fldCharType="end"/>
            </w:r>
          </w:hyperlink>
        </w:p>
        <w:p w14:paraId="34F97E3B" w14:textId="0D595C16"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62" w:history="1">
            <w:r w:rsidRPr="0073523E">
              <w:rPr>
                <w:rStyle w:val="Hyperlink"/>
                <w:noProof/>
              </w:rPr>
              <w:t>4.5.</w:t>
            </w:r>
            <w:r>
              <w:rPr>
                <w:rFonts w:eastAsiaTheme="minorEastAsia" w:cstheme="minorBidi"/>
                <w:b w:val="0"/>
                <w:bCs w:val="0"/>
                <w:noProof/>
                <w:sz w:val="24"/>
                <w:szCs w:val="24"/>
                <w:lang w:eastAsia="en-GB"/>
              </w:rPr>
              <w:tab/>
            </w:r>
            <w:r w:rsidRPr="0073523E">
              <w:rPr>
                <w:rStyle w:val="Hyperlink"/>
                <w:noProof/>
              </w:rPr>
              <w:t>Wrap up</w:t>
            </w:r>
            <w:r>
              <w:rPr>
                <w:noProof/>
                <w:webHidden/>
              </w:rPr>
              <w:tab/>
            </w:r>
            <w:r>
              <w:rPr>
                <w:noProof/>
                <w:webHidden/>
              </w:rPr>
              <w:fldChar w:fldCharType="begin"/>
            </w:r>
            <w:r>
              <w:rPr>
                <w:noProof/>
                <w:webHidden/>
              </w:rPr>
              <w:instrText xml:space="preserve"> PAGEREF _Toc184403462 \h </w:instrText>
            </w:r>
            <w:r>
              <w:rPr>
                <w:noProof/>
                <w:webHidden/>
              </w:rPr>
            </w:r>
            <w:r>
              <w:rPr>
                <w:noProof/>
                <w:webHidden/>
              </w:rPr>
              <w:fldChar w:fldCharType="separate"/>
            </w:r>
            <w:r>
              <w:rPr>
                <w:noProof/>
                <w:webHidden/>
              </w:rPr>
              <w:t>70</w:t>
            </w:r>
            <w:r>
              <w:rPr>
                <w:noProof/>
                <w:webHidden/>
              </w:rPr>
              <w:fldChar w:fldCharType="end"/>
            </w:r>
          </w:hyperlink>
        </w:p>
        <w:p w14:paraId="626C7579" w14:textId="0AE0A7D5" w:rsidR="008A2576" w:rsidRDefault="008A2576">
          <w:pPr>
            <w:pStyle w:val="TOC1"/>
            <w:tabs>
              <w:tab w:val="left" w:pos="480"/>
              <w:tab w:val="right" w:leader="dot" w:pos="9016"/>
            </w:tabs>
            <w:rPr>
              <w:rFonts w:eastAsiaTheme="minorEastAsia" w:cstheme="minorBidi"/>
              <w:b w:val="0"/>
              <w:bCs w:val="0"/>
              <w:i w:val="0"/>
              <w:iCs w:val="0"/>
              <w:noProof/>
              <w:lang w:eastAsia="en-GB"/>
            </w:rPr>
          </w:pPr>
          <w:hyperlink w:anchor="_Toc184403463" w:history="1">
            <w:r w:rsidRPr="0073523E">
              <w:rPr>
                <w:rStyle w:val="Hyperlink"/>
                <w:noProof/>
              </w:rPr>
              <w:t>5.</w:t>
            </w:r>
            <w:r>
              <w:rPr>
                <w:rFonts w:eastAsiaTheme="minorEastAsia" w:cstheme="minorBidi"/>
                <w:b w:val="0"/>
                <w:bCs w:val="0"/>
                <w:i w:val="0"/>
                <w:iCs w:val="0"/>
                <w:noProof/>
                <w:lang w:eastAsia="en-GB"/>
              </w:rPr>
              <w:tab/>
            </w:r>
            <w:r w:rsidRPr="0073523E">
              <w:rPr>
                <w:rStyle w:val="Hyperlink"/>
                <w:noProof/>
              </w:rPr>
              <w:t>Discussion</w:t>
            </w:r>
            <w:r>
              <w:rPr>
                <w:noProof/>
                <w:webHidden/>
              </w:rPr>
              <w:tab/>
            </w:r>
            <w:r>
              <w:rPr>
                <w:noProof/>
                <w:webHidden/>
              </w:rPr>
              <w:fldChar w:fldCharType="begin"/>
            </w:r>
            <w:r>
              <w:rPr>
                <w:noProof/>
                <w:webHidden/>
              </w:rPr>
              <w:instrText xml:space="preserve"> PAGEREF _Toc184403463 \h </w:instrText>
            </w:r>
            <w:r>
              <w:rPr>
                <w:noProof/>
                <w:webHidden/>
              </w:rPr>
            </w:r>
            <w:r>
              <w:rPr>
                <w:noProof/>
                <w:webHidden/>
              </w:rPr>
              <w:fldChar w:fldCharType="separate"/>
            </w:r>
            <w:r>
              <w:rPr>
                <w:noProof/>
                <w:webHidden/>
              </w:rPr>
              <w:t>72</w:t>
            </w:r>
            <w:r>
              <w:rPr>
                <w:noProof/>
                <w:webHidden/>
              </w:rPr>
              <w:fldChar w:fldCharType="end"/>
            </w:r>
          </w:hyperlink>
        </w:p>
        <w:p w14:paraId="75E38D34" w14:textId="0265C474"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64" w:history="1">
            <w:r w:rsidRPr="0073523E">
              <w:rPr>
                <w:rStyle w:val="Hyperlink"/>
                <w:noProof/>
              </w:rPr>
              <w:t>5.1.</w:t>
            </w:r>
            <w:r>
              <w:rPr>
                <w:rFonts w:eastAsiaTheme="minorEastAsia" w:cstheme="minorBidi"/>
                <w:b w:val="0"/>
                <w:bCs w:val="0"/>
                <w:noProof/>
                <w:sz w:val="24"/>
                <w:szCs w:val="24"/>
                <w:lang w:eastAsia="en-GB"/>
              </w:rPr>
              <w:tab/>
            </w:r>
            <w:r w:rsidRPr="0073523E">
              <w:rPr>
                <w:rStyle w:val="Hyperlink"/>
                <w:noProof/>
              </w:rPr>
              <w:t>Interpreting Results</w:t>
            </w:r>
            <w:r>
              <w:rPr>
                <w:noProof/>
                <w:webHidden/>
              </w:rPr>
              <w:tab/>
            </w:r>
            <w:r>
              <w:rPr>
                <w:noProof/>
                <w:webHidden/>
              </w:rPr>
              <w:fldChar w:fldCharType="begin"/>
            </w:r>
            <w:r>
              <w:rPr>
                <w:noProof/>
                <w:webHidden/>
              </w:rPr>
              <w:instrText xml:space="preserve"> PAGEREF _Toc184403464 \h </w:instrText>
            </w:r>
            <w:r>
              <w:rPr>
                <w:noProof/>
                <w:webHidden/>
              </w:rPr>
            </w:r>
            <w:r>
              <w:rPr>
                <w:noProof/>
                <w:webHidden/>
              </w:rPr>
              <w:fldChar w:fldCharType="separate"/>
            </w:r>
            <w:r>
              <w:rPr>
                <w:noProof/>
                <w:webHidden/>
              </w:rPr>
              <w:t>72</w:t>
            </w:r>
            <w:r>
              <w:rPr>
                <w:noProof/>
                <w:webHidden/>
              </w:rPr>
              <w:fldChar w:fldCharType="end"/>
            </w:r>
          </w:hyperlink>
        </w:p>
        <w:p w14:paraId="35ACF376" w14:textId="08C8B404"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65" w:history="1">
            <w:r w:rsidRPr="0073523E">
              <w:rPr>
                <w:rStyle w:val="Hyperlink"/>
                <w:noProof/>
              </w:rPr>
              <w:t>5.1.1.</w:t>
            </w:r>
            <w:r>
              <w:rPr>
                <w:rFonts w:eastAsiaTheme="minorEastAsia" w:cstheme="minorBidi"/>
                <w:noProof/>
                <w:sz w:val="24"/>
                <w:szCs w:val="24"/>
                <w:lang w:eastAsia="en-GB"/>
              </w:rPr>
              <w:tab/>
            </w:r>
            <w:r w:rsidRPr="0073523E">
              <w:rPr>
                <w:rStyle w:val="Hyperlink"/>
                <w:noProof/>
              </w:rPr>
              <w:t>General Remarks</w:t>
            </w:r>
            <w:r>
              <w:rPr>
                <w:noProof/>
                <w:webHidden/>
              </w:rPr>
              <w:tab/>
            </w:r>
            <w:r>
              <w:rPr>
                <w:noProof/>
                <w:webHidden/>
              </w:rPr>
              <w:fldChar w:fldCharType="begin"/>
            </w:r>
            <w:r>
              <w:rPr>
                <w:noProof/>
                <w:webHidden/>
              </w:rPr>
              <w:instrText xml:space="preserve"> PAGEREF _Toc184403465 \h </w:instrText>
            </w:r>
            <w:r>
              <w:rPr>
                <w:noProof/>
                <w:webHidden/>
              </w:rPr>
            </w:r>
            <w:r>
              <w:rPr>
                <w:noProof/>
                <w:webHidden/>
              </w:rPr>
              <w:fldChar w:fldCharType="separate"/>
            </w:r>
            <w:r>
              <w:rPr>
                <w:noProof/>
                <w:webHidden/>
              </w:rPr>
              <w:t>72</w:t>
            </w:r>
            <w:r>
              <w:rPr>
                <w:noProof/>
                <w:webHidden/>
              </w:rPr>
              <w:fldChar w:fldCharType="end"/>
            </w:r>
          </w:hyperlink>
        </w:p>
        <w:p w14:paraId="4704BB2D" w14:textId="4D281551" w:rsidR="008A2576" w:rsidRDefault="008A2576">
          <w:pPr>
            <w:pStyle w:val="TOC3"/>
            <w:tabs>
              <w:tab w:val="left" w:pos="1200"/>
              <w:tab w:val="right" w:leader="dot" w:pos="9016"/>
            </w:tabs>
            <w:rPr>
              <w:rFonts w:eastAsiaTheme="minorEastAsia" w:cstheme="minorBidi"/>
              <w:noProof/>
              <w:sz w:val="24"/>
              <w:szCs w:val="24"/>
              <w:lang w:eastAsia="en-GB"/>
            </w:rPr>
          </w:pPr>
          <w:hyperlink w:anchor="_Toc184403466" w:history="1">
            <w:r w:rsidRPr="0073523E">
              <w:rPr>
                <w:rStyle w:val="Hyperlink"/>
                <w:noProof/>
              </w:rPr>
              <w:t>5.1.2.</w:t>
            </w:r>
            <w:r>
              <w:rPr>
                <w:rFonts w:eastAsiaTheme="minorEastAsia" w:cstheme="minorBidi"/>
                <w:noProof/>
                <w:sz w:val="24"/>
                <w:szCs w:val="24"/>
                <w:lang w:eastAsia="en-GB"/>
              </w:rPr>
              <w:tab/>
            </w:r>
            <w:r w:rsidRPr="0073523E">
              <w:rPr>
                <w:rStyle w:val="Hyperlink"/>
                <w:noProof/>
              </w:rPr>
              <w:t>Techno-Economic Analysis</w:t>
            </w:r>
            <w:r>
              <w:rPr>
                <w:noProof/>
                <w:webHidden/>
              </w:rPr>
              <w:tab/>
            </w:r>
            <w:r>
              <w:rPr>
                <w:noProof/>
                <w:webHidden/>
              </w:rPr>
              <w:fldChar w:fldCharType="begin"/>
            </w:r>
            <w:r>
              <w:rPr>
                <w:noProof/>
                <w:webHidden/>
              </w:rPr>
              <w:instrText xml:space="preserve"> PAGEREF _Toc184403466 \h </w:instrText>
            </w:r>
            <w:r>
              <w:rPr>
                <w:noProof/>
                <w:webHidden/>
              </w:rPr>
            </w:r>
            <w:r>
              <w:rPr>
                <w:noProof/>
                <w:webHidden/>
              </w:rPr>
              <w:fldChar w:fldCharType="separate"/>
            </w:r>
            <w:r>
              <w:rPr>
                <w:noProof/>
                <w:webHidden/>
              </w:rPr>
              <w:t>73</w:t>
            </w:r>
            <w:r>
              <w:rPr>
                <w:noProof/>
                <w:webHidden/>
              </w:rPr>
              <w:fldChar w:fldCharType="end"/>
            </w:r>
          </w:hyperlink>
        </w:p>
        <w:p w14:paraId="1B8D87DD" w14:textId="6A69351C"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67" w:history="1">
            <w:r w:rsidRPr="0073523E">
              <w:rPr>
                <w:rStyle w:val="Hyperlink"/>
                <w:noProof/>
              </w:rPr>
              <w:t>5.2.</w:t>
            </w:r>
            <w:r>
              <w:rPr>
                <w:rFonts w:eastAsiaTheme="minorEastAsia" w:cstheme="minorBidi"/>
                <w:b w:val="0"/>
                <w:bCs w:val="0"/>
                <w:noProof/>
                <w:sz w:val="24"/>
                <w:szCs w:val="24"/>
                <w:lang w:eastAsia="en-GB"/>
              </w:rPr>
              <w:tab/>
            </w:r>
            <w:r w:rsidRPr="0073523E">
              <w:rPr>
                <w:rStyle w:val="Hyperlink"/>
                <w:noProof/>
              </w:rPr>
              <w:t>Reflection on Method and Data Limitations</w:t>
            </w:r>
            <w:r>
              <w:rPr>
                <w:noProof/>
                <w:webHidden/>
              </w:rPr>
              <w:tab/>
            </w:r>
            <w:r>
              <w:rPr>
                <w:noProof/>
                <w:webHidden/>
              </w:rPr>
              <w:fldChar w:fldCharType="begin"/>
            </w:r>
            <w:r>
              <w:rPr>
                <w:noProof/>
                <w:webHidden/>
              </w:rPr>
              <w:instrText xml:space="preserve"> PAGEREF _Toc184403467 \h </w:instrText>
            </w:r>
            <w:r>
              <w:rPr>
                <w:noProof/>
                <w:webHidden/>
              </w:rPr>
            </w:r>
            <w:r>
              <w:rPr>
                <w:noProof/>
                <w:webHidden/>
              </w:rPr>
              <w:fldChar w:fldCharType="separate"/>
            </w:r>
            <w:r>
              <w:rPr>
                <w:noProof/>
                <w:webHidden/>
              </w:rPr>
              <w:t>75</w:t>
            </w:r>
            <w:r>
              <w:rPr>
                <w:noProof/>
                <w:webHidden/>
              </w:rPr>
              <w:fldChar w:fldCharType="end"/>
            </w:r>
          </w:hyperlink>
        </w:p>
        <w:p w14:paraId="1FA1ECF3" w14:textId="1324DEA2" w:rsidR="008A2576" w:rsidRDefault="008A2576">
          <w:pPr>
            <w:pStyle w:val="TOC3"/>
            <w:tabs>
              <w:tab w:val="left" w:pos="1440"/>
              <w:tab w:val="right" w:leader="dot" w:pos="9016"/>
            </w:tabs>
            <w:rPr>
              <w:rFonts w:eastAsiaTheme="minorEastAsia" w:cstheme="minorBidi"/>
              <w:noProof/>
              <w:sz w:val="24"/>
              <w:szCs w:val="24"/>
              <w:lang w:eastAsia="en-GB"/>
            </w:rPr>
          </w:pPr>
          <w:hyperlink w:anchor="_Toc184403468" w:history="1">
            <w:r w:rsidRPr="0073523E">
              <w:rPr>
                <w:rStyle w:val="Hyperlink"/>
                <w:noProof/>
              </w:rPr>
              <w:t>5.2.1.</w:t>
            </w:r>
            <w:r>
              <w:rPr>
                <w:rFonts w:eastAsiaTheme="minorEastAsia" w:cstheme="minorBidi"/>
                <w:noProof/>
                <w:sz w:val="24"/>
                <w:szCs w:val="24"/>
                <w:lang w:eastAsia="en-GB"/>
              </w:rPr>
              <w:tab/>
            </w:r>
            <w:r w:rsidRPr="0073523E">
              <w:rPr>
                <w:rStyle w:val="Hyperlink"/>
                <w:noProof/>
              </w:rPr>
              <w:t>Socio-Technical Analysis</w:t>
            </w:r>
            <w:r>
              <w:rPr>
                <w:noProof/>
                <w:webHidden/>
              </w:rPr>
              <w:tab/>
            </w:r>
            <w:r>
              <w:rPr>
                <w:noProof/>
                <w:webHidden/>
              </w:rPr>
              <w:fldChar w:fldCharType="begin"/>
            </w:r>
            <w:r>
              <w:rPr>
                <w:noProof/>
                <w:webHidden/>
              </w:rPr>
              <w:instrText xml:space="preserve"> PAGEREF _Toc184403468 \h </w:instrText>
            </w:r>
            <w:r>
              <w:rPr>
                <w:noProof/>
                <w:webHidden/>
              </w:rPr>
            </w:r>
            <w:r>
              <w:rPr>
                <w:noProof/>
                <w:webHidden/>
              </w:rPr>
              <w:fldChar w:fldCharType="separate"/>
            </w:r>
            <w:r>
              <w:rPr>
                <w:noProof/>
                <w:webHidden/>
              </w:rPr>
              <w:t>75</w:t>
            </w:r>
            <w:r>
              <w:rPr>
                <w:noProof/>
                <w:webHidden/>
              </w:rPr>
              <w:fldChar w:fldCharType="end"/>
            </w:r>
          </w:hyperlink>
        </w:p>
        <w:p w14:paraId="220BDA94" w14:textId="2245F407" w:rsidR="008A2576" w:rsidRDefault="008A2576">
          <w:pPr>
            <w:pStyle w:val="TOC3"/>
            <w:tabs>
              <w:tab w:val="left" w:pos="1200"/>
              <w:tab w:val="right" w:leader="dot" w:pos="9016"/>
            </w:tabs>
            <w:rPr>
              <w:rFonts w:eastAsiaTheme="minorEastAsia" w:cstheme="minorBidi"/>
              <w:noProof/>
              <w:sz w:val="24"/>
              <w:szCs w:val="24"/>
              <w:lang w:eastAsia="en-GB"/>
            </w:rPr>
          </w:pPr>
          <w:hyperlink w:anchor="_Toc184403469" w:history="1">
            <w:r w:rsidRPr="0073523E">
              <w:rPr>
                <w:rStyle w:val="Hyperlink"/>
                <w:noProof/>
              </w:rPr>
              <w:t>5.2.2.</w:t>
            </w:r>
            <w:r>
              <w:rPr>
                <w:rFonts w:eastAsiaTheme="minorEastAsia" w:cstheme="minorBidi"/>
                <w:noProof/>
                <w:sz w:val="24"/>
                <w:szCs w:val="24"/>
                <w:lang w:eastAsia="en-GB"/>
              </w:rPr>
              <w:tab/>
            </w:r>
            <w:r w:rsidRPr="0073523E">
              <w:rPr>
                <w:rStyle w:val="Hyperlink"/>
                <w:noProof/>
              </w:rPr>
              <w:t>Techno-Economic Analysis</w:t>
            </w:r>
            <w:r>
              <w:rPr>
                <w:noProof/>
                <w:webHidden/>
              </w:rPr>
              <w:tab/>
            </w:r>
            <w:r>
              <w:rPr>
                <w:noProof/>
                <w:webHidden/>
              </w:rPr>
              <w:fldChar w:fldCharType="begin"/>
            </w:r>
            <w:r>
              <w:rPr>
                <w:noProof/>
                <w:webHidden/>
              </w:rPr>
              <w:instrText xml:space="preserve"> PAGEREF _Toc184403469 \h </w:instrText>
            </w:r>
            <w:r>
              <w:rPr>
                <w:noProof/>
                <w:webHidden/>
              </w:rPr>
            </w:r>
            <w:r>
              <w:rPr>
                <w:noProof/>
                <w:webHidden/>
              </w:rPr>
              <w:fldChar w:fldCharType="separate"/>
            </w:r>
            <w:r>
              <w:rPr>
                <w:noProof/>
                <w:webHidden/>
              </w:rPr>
              <w:t>76</w:t>
            </w:r>
            <w:r>
              <w:rPr>
                <w:noProof/>
                <w:webHidden/>
              </w:rPr>
              <w:fldChar w:fldCharType="end"/>
            </w:r>
          </w:hyperlink>
        </w:p>
        <w:p w14:paraId="3BCD315D" w14:textId="78F8BEC6"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70" w:history="1">
            <w:r w:rsidRPr="0073523E">
              <w:rPr>
                <w:rStyle w:val="Hyperlink"/>
                <w:noProof/>
              </w:rPr>
              <w:t>5.3.</w:t>
            </w:r>
            <w:r>
              <w:rPr>
                <w:rFonts w:eastAsiaTheme="minorEastAsia" w:cstheme="minorBidi"/>
                <w:b w:val="0"/>
                <w:bCs w:val="0"/>
                <w:noProof/>
                <w:sz w:val="24"/>
                <w:szCs w:val="24"/>
                <w:lang w:eastAsia="en-GB"/>
              </w:rPr>
              <w:tab/>
            </w:r>
            <w:r w:rsidRPr="0073523E">
              <w:rPr>
                <w:rStyle w:val="Hyperlink"/>
                <w:noProof/>
              </w:rPr>
              <w:t>Academic Relevance &amp; Future Research</w:t>
            </w:r>
            <w:r>
              <w:rPr>
                <w:noProof/>
                <w:webHidden/>
              </w:rPr>
              <w:tab/>
            </w:r>
            <w:r>
              <w:rPr>
                <w:noProof/>
                <w:webHidden/>
              </w:rPr>
              <w:fldChar w:fldCharType="begin"/>
            </w:r>
            <w:r>
              <w:rPr>
                <w:noProof/>
                <w:webHidden/>
              </w:rPr>
              <w:instrText xml:space="preserve"> PAGEREF _Toc184403470 \h </w:instrText>
            </w:r>
            <w:r>
              <w:rPr>
                <w:noProof/>
                <w:webHidden/>
              </w:rPr>
            </w:r>
            <w:r>
              <w:rPr>
                <w:noProof/>
                <w:webHidden/>
              </w:rPr>
              <w:fldChar w:fldCharType="separate"/>
            </w:r>
            <w:r>
              <w:rPr>
                <w:noProof/>
                <w:webHidden/>
              </w:rPr>
              <w:t>77</w:t>
            </w:r>
            <w:r>
              <w:rPr>
                <w:noProof/>
                <w:webHidden/>
              </w:rPr>
              <w:fldChar w:fldCharType="end"/>
            </w:r>
          </w:hyperlink>
        </w:p>
        <w:p w14:paraId="49EB8F35" w14:textId="7316B36D" w:rsidR="008A2576" w:rsidRDefault="008A2576">
          <w:pPr>
            <w:pStyle w:val="TOC1"/>
            <w:tabs>
              <w:tab w:val="left" w:pos="480"/>
              <w:tab w:val="right" w:leader="dot" w:pos="9016"/>
            </w:tabs>
            <w:rPr>
              <w:rFonts w:eastAsiaTheme="minorEastAsia" w:cstheme="minorBidi"/>
              <w:b w:val="0"/>
              <w:bCs w:val="0"/>
              <w:i w:val="0"/>
              <w:iCs w:val="0"/>
              <w:noProof/>
              <w:lang w:eastAsia="en-GB"/>
            </w:rPr>
          </w:pPr>
          <w:hyperlink w:anchor="_Toc184403471" w:history="1">
            <w:r w:rsidRPr="0073523E">
              <w:rPr>
                <w:rStyle w:val="Hyperlink"/>
                <w:noProof/>
              </w:rPr>
              <w:t>6.</w:t>
            </w:r>
            <w:r>
              <w:rPr>
                <w:rFonts w:eastAsiaTheme="minorEastAsia" w:cstheme="minorBidi"/>
                <w:b w:val="0"/>
                <w:bCs w:val="0"/>
                <w:i w:val="0"/>
                <w:iCs w:val="0"/>
                <w:noProof/>
                <w:lang w:eastAsia="en-GB"/>
              </w:rPr>
              <w:tab/>
            </w:r>
            <w:r w:rsidRPr="0073523E">
              <w:rPr>
                <w:rStyle w:val="Hyperlink"/>
                <w:noProof/>
              </w:rPr>
              <w:t>Conclusion</w:t>
            </w:r>
            <w:r>
              <w:rPr>
                <w:noProof/>
                <w:webHidden/>
              </w:rPr>
              <w:tab/>
            </w:r>
            <w:r>
              <w:rPr>
                <w:noProof/>
                <w:webHidden/>
              </w:rPr>
              <w:fldChar w:fldCharType="begin"/>
            </w:r>
            <w:r>
              <w:rPr>
                <w:noProof/>
                <w:webHidden/>
              </w:rPr>
              <w:instrText xml:space="preserve"> PAGEREF _Toc184403471 \h </w:instrText>
            </w:r>
            <w:r>
              <w:rPr>
                <w:noProof/>
                <w:webHidden/>
              </w:rPr>
            </w:r>
            <w:r>
              <w:rPr>
                <w:noProof/>
                <w:webHidden/>
              </w:rPr>
              <w:fldChar w:fldCharType="separate"/>
            </w:r>
            <w:r>
              <w:rPr>
                <w:noProof/>
                <w:webHidden/>
              </w:rPr>
              <w:t>79</w:t>
            </w:r>
            <w:r>
              <w:rPr>
                <w:noProof/>
                <w:webHidden/>
              </w:rPr>
              <w:fldChar w:fldCharType="end"/>
            </w:r>
          </w:hyperlink>
        </w:p>
        <w:p w14:paraId="6CE1B699" w14:textId="3BEA6498"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72" w:history="1">
            <w:r w:rsidRPr="0073523E">
              <w:rPr>
                <w:rStyle w:val="Hyperlink"/>
                <w:noProof/>
              </w:rPr>
              <w:t>6.1.</w:t>
            </w:r>
            <w:r>
              <w:rPr>
                <w:rFonts w:eastAsiaTheme="minorEastAsia" w:cstheme="minorBidi"/>
                <w:b w:val="0"/>
                <w:bCs w:val="0"/>
                <w:noProof/>
                <w:sz w:val="24"/>
                <w:szCs w:val="24"/>
                <w:lang w:eastAsia="en-GB"/>
              </w:rPr>
              <w:tab/>
            </w:r>
            <w:r w:rsidRPr="0073523E">
              <w:rPr>
                <w:rStyle w:val="Hyperlink"/>
                <w:noProof/>
              </w:rPr>
              <w:t>Sub Questions and Key Findings</w:t>
            </w:r>
            <w:r>
              <w:rPr>
                <w:noProof/>
                <w:webHidden/>
              </w:rPr>
              <w:tab/>
            </w:r>
            <w:r>
              <w:rPr>
                <w:noProof/>
                <w:webHidden/>
              </w:rPr>
              <w:fldChar w:fldCharType="begin"/>
            </w:r>
            <w:r>
              <w:rPr>
                <w:noProof/>
                <w:webHidden/>
              </w:rPr>
              <w:instrText xml:space="preserve"> PAGEREF _Toc184403472 \h </w:instrText>
            </w:r>
            <w:r>
              <w:rPr>
                <w:noProof/>
                <w:webHidden/>
              </w:rPr>
            </w:r>
            <w:r>
              <w:rPr>
                <w:noProof/>
                <w:webHidden/>
              </w:rPr>
              <w:fldChar w:fldCharType="separate"/>
            </w:r>
            <w:r>
              <w:rPr>
                <w:noProof/>
                <w:webHidden/>
              </w:rPr>
              <w:t>79</w:t>
            </w:r>
            <w:r>
              <w:rPr>
                <w:noProof/>
                <w:webHidden/>
              </w:rPr>
              <w:fldChar w:fldCharType="end"/>
            </w:r>
          </w:hyperlink>
        </w:p>
        <w:p w14:paraId="2A26FD53" w14:textId="7A27DC6E" w:rsidR="008A2576" w:rsidRDefault="008A2576">
          <w:pPr>
            <w:pStyle w:val="TOC2"/>
            <w:tabs>
              <w:tab w:val="left" w:pos="960"/>
              <w:tab w:val="right" w:leader="dot" w:pos="9016"/>
            </w:tabs>
            <w:rPr>
              <w:rFonts w:eastAsiaTheme="minorEastAsia" w:cstheme="minorBidi"/>
              <w:b w:val="0"/>
              <w:bCs w:val="0"/>
              <w:noProof/>
              <w:sz w:val="24"/>
              <w:szCs w:val="24"/>
              <w:lang w:eastAsia="en-GB"/>
            </w:rPr>
          </w:pPr>
          <w:hyperlink w:anchor="_Toc184403473" w:history="1">
            <w:r w:rsidRPr="0073523E">
              <w:rPr>
                <w:rStyle w:val="Hyperlink"/>
                <w:noProof/>
              </w:rPr>
              <w:t>6.2.</w:t>
            </w:r>
            <w:r>
              <w:rPr>
                <w:rFonts w:eastAsiaTheme="minorEastAsia" w:cstheme="minorBidi"/>
                <w:b w:val="0"/>
                <w:bCs w:val="0"/>
                <w:noProof/>
                <w:sz w:val="24"/>
                <w:szCs w:val="24"/>
                <w:lang w:eastAsia="en-GB"/>
              </w:rPr>
              <w:tab/>
            </w:r>
            <w:r w:rsidRPr="0073523E">
              <w:rPr>
                <w:rStyle w:val="Hyperlink"/>
                <w:noProof/>
              </w:rPr>
              <w:t>Answering the Main Research Question</w:t>
            </w:r>
            <w:r>
              <w:rPr>
                <w:noProof/>
                <w:webHidden/>
              </w:rPr>
              <w:tab/>
            </w:r>
            <w:r>
              <w:rPr>
                <w:noProof/>
                <w:webHidden/>
              </w:rPr>
              <w:fldChar w:fldCharType="begin"/>
            </w:r>
            <w:r>
              <w:rPr>
                <w:noProof/>
                <w:webHidden/>
              </w:rPr>
              <w:instrText xml:space="preserve"> PAGEREF _Toc184403473 \h </w:instrText>
            </w:r>
            <w:r>
              <w:rPr>
                <w:noProof/>
                <w:webHidden/>
              </w:rPr>
            </w:r>
            <w:r>
              <w:rPr>
                <w:noProof/>
                <w:webHidden/>
              </w:rPr>
              <w:fldChar w:fldCharType="separate"/>
            </w:r>
            <w:r>
              <w:rPr>
                <w:noProof/>
                <w:webHidden/>
              </w:rPr>
              <w:t>82</w:t>
            </w:r>
            <w:r>
              <w:rPr>
                <w:noProof/>
                <w:webHidden/>
              </w:rPr>
              <w:fldChar w:fldCharType="end"/>
            </w:r>
          </w:hyperlink>
        </w:p>
        <w:p w14:paraId="34D128A7" w14:textId="2D0AA778" w:rsidR="008A2576" w:rsidRDefault="008A2576">
          <w:pPr>
            <w:pStyle w:val="TOC1"/>
            <w:tabs>
              <w:tab w:val="left" w:pos="480"/>
              <w:tab w:val="right" w:leader="dot" w:pos="9016"/>
            </w:tabs>
            <w:rPr>
              <w:rFonts w:eastAsiaTheme="minorEastAsia" w:cstheme="minorBidi"/>
              <w:b w:val="0"/>
              <w:bCs w:val="0"/>
              <w:i w:val="0"/>
              <w:iCs w:val="0"/>
              <w:noProof/>
              <w:lang w:eastAsia="en-GB"/>
            </w:rPr>
          </w:pPr>
          <w:hyperlink w:anchor="_Toc184403474" w:history="1">
            <w:r w:rsidRPr="0073523E">
              <w:rPr>
                <w:rStyle w:val="Hyperlink"/>
                <w:noProof/>
              </w:rPr>
              <w:t>7.</w:t>
            </w:r>
            <w:r>
              <w:rPr>
                <w:rFonts w:eastAsiaTheme="minorEastAsia" w:cstheme="minorBidi"/>
                <w:b w:val="0"/>
                <w:bCs w:val="0"/>
                <w:i w:val="0"/>
                <w:iCs w:val="0"/>
                <w:noProof/>
                <w:lang w:eastAsia="en-GB"/>
              </w:rPr>
              <w:tab/>
            </w:r>
            <w:r w:rsidRPr="0073523E">
              <w:rPr>
                <w:rStyle w:val="Hyperlink"/>
                <w:noProof/>
              </w:rPr>
              <w:t>Bibliography</w:t>
            </w:r>
            <w:r>
              <w:rPr>
                <w:noProof/>
                <w:webHidden/>
              </w:rPr>
              <w:tab/>
            </w:r>
            <w:r>
              <w:rPr>
                <w:noProof/>
                <w:webHidden/>
              </w:rPr>
              <w:fldChar w:fldCharType="begin"/>
            </w:r>
            <w:r>
              <w:rPr>
                <w:noProof/>
                <w:webHidden/>
              </w:rPr>
              <w:instrText xml:space="preserve"> PAGEREF _Toc184403474 \h </w:instrText>
            </w:r>
            <w:r>
              <w:rPr>
                <w:noProof/>
                <w:webHidden/>
              </w:rPr>
            </w:r>
            <w:r>
              <w:rPr>
                <w:noProof/>
                <w:webHidden/>
              </w:rPr>
              <w:fldChar w:fldCharType="separate"/>
            </w:r>
            <w:r>
              <w:rPr>
                <w:noProof/>
                <w:webHidden/>
              </w:rPr>
              <w:t>83</w:t>
            </w:r>
            <w:r>
              <w:rPr>
                <w:noProof/>
                <w:webHidden/>
              </w:rPr>
              <w:fldChar w:fldCharType="end"/>
            </w:r>
          </w:hyperlink>
        </w:p>
        <w:p w14:paraId="57115DCB" w14:textId="172270BB" w:rsidR="008A2576" w:rsidRDefault="008A2576">
          <w:pPr>
            <w:pStyle w:val="TOC1"/>
            <w:tabs>
              <w:tab w:val="left" w:pos="480"/>
              <w:tab w:val="right" w:leader="dot" w:pos="9016"/>
            </w:tabs>
            <w:rPr>
              <w:rFonts w:eastAsiaTheme="minorEastAsia" w:cstheme="minorBidi"/>
              <w:b w:val="0"/>
              <w:bCs w:val="0"/>
              <w:i w:val="0"/>
              <w:iCs w:val="0"/>
              <w:noProof/>
              <w:lang w:eastAsia="en-GB"/>
            </w:rPr>
          </w:pPr>
          <w:hyperlink w:anchor="_Toc184403475" w:history="1">
            <w:r w:rsidRPr="0073523E">
              <w:rPr>
                <w:rStyle w:val="Hyperlink"/>
                <w:noProof/>
              </w:rPr>
              <w:t>8.</w:t>
            </w:r>
            <w:r>
              <w:rPr>
                <w:rFonts w:eastAsiaTheme="minorEastAsia" w:cstheme="minorBidi"/>
                <w:b w:val="0"/>
                <w:bCs w:val="0"/>
                <w:i w:val="0"/>
                <w:iCs w:val="0"/>
                <w:noProof/>
                <w:lang w:eastAsia="en-GB"/>
              </w:rPr>
              <w:tab/>
            </w:r>
            <w:r w:rsidRPr="0073523E">
              <w:rPr>
                <w:rStyle w:val="Hyperlink"/>
                <w:noProof/>
              </w:rPr>
              <w:t>Appendix</w:t>
            </w:r>
            <w:r>
              <w:rPr>
                <w:noProof/>
                <w:webHidden/>
              </w:rPr>
              <w:tab/>
            </w:r>
            <w:r>
              <w:rPr>
                <w:noProof/>
                <w:webHidden/>
              </w:rPr>
              <w:fldChar w:fldCharType="begin"/>
            </w:r>
            <w:r>
              <w:rPr>
                <w:noProof/>
                <w:webHidden/>
              </w:rPr>
              <w:instrText xml:space="preserve"> PAGEREF _Toc184403475 \h </w:instrText>
            </w:r>
            <w:r>
              <w:rPr>
                <w:noProof/>
                <w:webHidden/>
              </w:rPr>
            </w:r>
            <w:r>
              <w:rPr>
                <w:noProof/>
                <w:webHidden/>
              </w:rPr>
              <w:fldChar w:fldCharType="separate"/>
            </w:r>
            <w:r>
              <w:rPr>
                <w:noProof/>
                <w:webHidden/>
              </w:rPr>
              <w:t>94</w:t>
            </w:r>
            <w:r>
              <w:rPr>
                <w:noProof/>
                <w:webHidden/>
              </w:rPr>
              <w:fldChar w:fldCharType="end"/>
            </w:r>
          </w:hyperlink>
        </w:p>
        <w:p w14:paraId="77B899AF" w14:textId="50480764" w:rsidR="00286AD4" w:rsidRPr="00CF1A24" w:rsidRDefault="00502C92" w:rsidP="00392D36">
          <w:pPr>
            <w:rPr>
              <w:b/>
              <w:bCs/>
              <w:lang w:val="en-US"/>
            </w:rPr>
          </w:pPr>
          <w:r w:rsidRPr="00670221">
            <w:rPr>
              <w:b/>
              <w:bCs/>
              <w:lang w:val="en-US"/>
            </w:rPr>
            <w:fldChar w:fldCharType="end"/>
          </w:r>
        </w:p>
      </w:sdtContent>
    </w:sdt>
    <w:p w14:paraId="7B2FD894" w14:textId="77777777" w:rsidR="00E229D7" w:rsidRDefault="00E229D7" w:rsidP="008E4F53">
      <w:pPr>
        <w:pStyle w:val="Heading1"/>
        <w:sectPr w:rsidR="00E229D7" w:rsidSect="00616BEE">
          <w:headerReference w:type="default" r:id="rId13"/>
          <w:footerReference w:type="default" r:id="rId14"/>
          <w:pgSz w:w="11906" w:h="16838"/>
          <w:pgMar w:top="1440" w:right="1440" w:bottom="1440" w:left="1440" w:header="708" w:footer="708" w:gutter="0"/>
          <w:pgNumType w:fmt="upperRoman" w:start="1"/>
          <w:cols w:space="708"/>
          <w:docGrid w:linePitch="360"/>
        </w:sectPr>
      </w:pPr>
    </w:p>
    <w:p w14:paraId="25BD29FB" w14:textId="79015967" w:rsidR="008E4F53" w:rsidRDefault="00F86158" w:rsidP="008E4F53">
      <w:pPr>
        <w:pStyle w:val="Heading1"/>
      </w:pPr>
      <w:bookmarkStart w:id="1" w:name="_Toc184403408"/>
      <w:r w:rsidRPr="00670221">
        <w:lastRenderedPageBreak/>
        <w:t>Research Problem</w:t>
      </w:r>
      <w:bookmarkEnd w:id="1"/>
    </w:p>
    <w:p w14:paraId="1113836A" w14:textId="77777777" w:rsidR="00BC298F" w:rsidRPr="00BC298F" w:rsidRDefault="00BC298F" w:rsidP="00BC298F">
      <w:pPr>
        <w:rPr>
          <w:lang w:val="en-US"/>
        </w:rPr>
      </w:pPr>
    </w:p>
    <w:p w14:paraId="3244AF6E" w14:textId="247A6EFC" w:rsidR="00F86158" w:rsidRPr="00670221" w:rsidRDefault="00F86158" w:rsidP="00141199">
      <w:pPr>
        <w:pStyle w:val="Heading2"/>
      </w:pPr>
      <w:bookmarkStart w:id="2" w:name="_Toc184403409"/>
      <w:r w:rsidRPr="00670221">
        <w:t>Introduction</w:t>
      </w:r>
      <w:bookmarkEnd w:id="2"/>
    </w:p>
    <w:p w14:paraId="058D5807" w14:textId="35655AAD" w:rsidR="00493328" w:rsidRPr="00670221" w:rsidRDefault="00B9795D" w:rsidP="0007118C">
      <w:pPr>
        <w:rPr>
          <w:lang w:val="en-US"/>
        </w:rPr>
      </w:pPr>
      <w:r w:rsidRPr="00670221">
        <w:rPr>
          <w:lang w:val="en-US"/>
        </w:rPr>
        <w:t xml:space="preserve">Given the record-high levels of </w:t>
      </w:r>
      <w:r w:rsidR="00B73243" w:rsidRPr="00670221">
        <w:rPr>
          <w:lang w:val="en-US"/>
        </w:rPr>
        <w:t xml:space="preserve">CO₂ </w:t>
      </w:r>
      <w:r w:rsidRPr="00670221">
        <w:rPr>
          <w:lang w:val="en-US"/>
        </w:rPr>
        <w:t>emissions in the atmosphere (Kumar et al., 2015), it is evident that deep emission reductions across all sectors are urgently required. Some sectors present greater challenges than others in this regard, often referred to as hard-to-abate sectors (</w:t>
      </w:r>
      <w:proofErr w:type="spellStart"/>
      <w:r w:rsidRPr="00670221">
        <w:rPr>
          <w:lang w:val="en-US"/>
        </w:rPr>
        <w:t>Paltsev</w:t>
      </w:r>
      <w:proofErr w:type="spellEnd"/>
      <w:r w:rsidRPr="00670221">
        <w:rPr>
          <w:lang w:val="en-US"/>
        </w:rPr>
        <w:t xml:space="preserve"> et al., 2021). These sectors, which include industries such as agriculture, heavy-duty transport, shipping, and aviation (Franco &amp; Giovannini, 2023), are characterized by processes that heavily depend on fossil fuels or produce significant </w:t>
      </w:r>
      <w:r w:rsidR="00B73243" w:rsidRPr="00670221">
        <w:rPr>
          <w:lang w:val="en-US"/>
        </w:rPr>
        <w:t xml:space="preserve">CO₂ </w:t>
      </w:r>
      <w:r w:rsidRPr="00670221">
        <w:rPr>
          <w:lang w:val="en-US"/>
        </w:rPr>
        <w:t>emissions, making traditional decarbonization approaches difficult to implement (Neuwirth et al., 2022).</w:t>
      </w:r>
    </w:p>
    <w:p w14:paraId="4D709113" w14:textId="6E2AB884" w:rsidR="00D3102B" w:rsidRPr="00670221" w:rsidRDefault="00D3102B" w:rsidP="0007118C">
      <w:pPr>
        <w:rPr>
          <w:lang w:val="en-US"/>
        </w:rPr>
      </w:pPr>
      <w:r w:rsidRPr="00670221">
        <w:rPr>
          <w:lang w:val="en-US"/>
        </w:rPr>
        <w:t xml:space="preserve">Carbon Dioxide Removal (CDR) can be useful in such cases and has therefor been identified as an essential method for reaching net zero goals by the Intergovernmental Panel on Climate Change (IPCC) (2022). CDR refers to a set of methods and technologies aimed at capturing and removing </w:t>
      </w:r>
      <w:r w:rsidR="00B73243" w:rsidRPr="00670221">
        <w:rPr>
          <w:lang w:val="en-US"/>
        </w:rPr>
        <w:t xml:space="preserve">CO₂ </w:t>
      </w:r>
      <w:r w:rsidRPr="00670221">
        <w:rPr>
          <w:lang w:val="en-US"/>
        </w:rPr>
        <w:t xml:space="preserve">from the atmosphere (Mannion et al., 2024). These can be nature or technology based and used to offset fossil emissions. Afforestation and Reforestation are nature-based removals (NBR) and involve planting trees and restoring forests, which absorb </w:t>
      </w:r>
      <w:r w:rsidR="00B73243" w:rsidRPr="00670221">
        <w:rPr>
          <w:lang w:val="en-US"/>
        </w:rPr>
        <w:t xml:space="preserve">CO₂ </w:t>
      </w:r>
      <w:r w:rsidRPr="00670221">
        <w:rPr>
          <w:lang w:val="en-US"/>
        </w:rPr>
        <w:t xml:space="preserve">through photosynthesis. Bioenergy with Carbon Capture and Storage (BECCS) involves growing biomass (plants or algae), using it to generate energy, and then capturing and storing the </w:t>
      </w:r>
      <w:r w:rsidR="00B73243" w:rsidRPr="00670221">
        <w:rPr>
          <w:lang w:val="en-US"/>
        </w:rPr>
        <w:t xml:space="preserve">CO₂ </w:t>
      </w:r>
      <w:r w:rsidRPr="00670221">
        <w:rPr>
          <w:lang w:val="en-US"/>
        </w:rPr>
        <w:t>produced during the energy generation process (</w:t>
      </w:r>
      <w:proofErr w:type="spellStart"/>
      <w:r w:rsidRPr="00670221">
        <w:rPr>
          <w:lang w:val="en-US"/>
        </w:rPr>
        <w:t>Fajardy</w:t>
      </w:r>
      <w:proofErr w:type="spellEnd"/>
      <w:r w:rsidRPr="00670221">
        <w:rPr>
          <w:lang w:val="en-US"/>
        </w:rPr>
        <w:t xml:space="preserve"> &amp; Mac Dowell, 2017). Direct </w:t>
      </w:r>
      <w:r w:rsidR="008F5637" w:rsidRPr="00670221">
        <w:rPr>
          <w:lang w:val="en-US"/>
        </w:rPr>
        <w:t>a</w:t>
      </w:r>
      <w:r w:rsidRPr="00670221">
        <w:rPr>
          <w:lang w:val="en-US"/>
        </w:rPr>
        <w:t xml:space="preserve">ir </w:t>
      </w:r>
      <w:r w:rsidR="008F5637" w:rsidRPr="00670221">
        <w:rPr>
          <w:lang w:val="en-US"/>
        </w:rPr>
        <w:t>c</w:t>
      </w:r>
      <w:r w:rsidRPr="00670221">
        <w:rPr>
          <w:lang w:val="en-US"/>
        </w:rPr>
        <w:t xml:space="preserve">apture (DAC) uses chemical processes to directly capture </w:t>
      </w:r>
      <w:r w:rsidR="00B73243" w:rsidRPr="00670221">
        <w:rPr>
          <w:lang w:val="en-US"/>
        </w:rPr>
        <w:t xml:space="preserve">CO₂ </w:t>
      </w:r>
      <w:r w:rsidRPr="00670221">
        <w:rPr>
          <w:lang w:val="en-US"/>
        </w:rPr>
        <w:t>from the ambient air, followed by sequestration (storing it underground or using it in various applications) (McQueen et al., 2021). Both are examples of technology-based removal (TBR). In the figure below, other CDR methods are shown.</w:t>
      </w:r>
    </w:p>
    <w:p w14:paraId="727A5B8B" w14:textId="77777777" w:rsidR="00D3102B" w:rsidRPr="00670221" w:rsidRDefault="00D3102B" w:rsidP="00D3102B">
      <w:pPr>
        <w:keepNext/>
        <w:rPr>
          <w:lang w:val="en-US"/>
        </w:rPr>
      </w:pPr>
      <w:r w:rsidRPr="00670221">
        <w:rPr>
          <w:rFonts w:cstheme="minorHAnsi"/>
          <w:lang w:val="en-US"/>
        </w:rPr>
        <w:fldChar w:fldCharType="begin"/>
      </w:r>
      <w:r w:rsidRPr="00670221">
        <w:rPr>
          <w:rFonts w:cstheme="minorHAnsi"/>
          <w:lang w:val="en-US"/>
        </w:rPr>
        <w:instrText xml:space="preserve"> INCLUDEPICTURE "https://carbongap.org/wp-content/uploads/2023/09/CDR-Methods.png" \* MERGEFORMATINET </w:instrText>
      </w:r>
      <w:r w:rsidRPr="00670221">
        <w:rPr>
          <w:rFonts w:cstheme="minorHAnsi"/>
          <w:lang w:val="en-US"/>
        </w:rPr>
        <w:fldChar w:fldCharType="separate"/>
      </w:r>
      <w:r w:rsidRPr="00670221">
        <w:rPr>
          <w:rFonts w:cstheme="minorHAnsi"/>
          <w:noProof/>
          <w:lang w:val="en-US"/>
        </w:rPr>
        <w:drawing>
          <wp:inline distT="0" distB="0" distL="0" distR="0" wp14:anchorId="15F3D52E" wp14:editId="27546E98">
            <wp:extent cx="5731510" cy="2047875"/>
            <wp:effectExtent l="0" t="0" r="0" b="0"/>
            <wp:docPr id="655739714" name="Picture 3" descr="A diagram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39714" name="Picture 3" descr="A diagram of a factor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0427" cy="2051061"/>
                    </a:xfrm>
                    <a:prstGeom prst="rect">
                      <a:avLst/>
                    </a:prstGeom>
                    <a:noFill/>
                    <a:ln>
                      <a:noFill/>
                    </a:ln>
                  </pic:spPr>
                </pic:pic>
              </a:graphicData>
            </a:graphic>
          </wp:inline>
        </w:drawing>
      </w:r>
      <w:r w:rsidRPr="00670221">
        <w:rPr>
          <w:rFonts w:cstheme="minorHAnsi"/>
          <w:lang w:val="en-US"/>
        </w:rPr>
        <w:fldChar w:fldCharType="end"/>
      </w:r>
    </w:p>
    <w:p w14:paraId="2485063E" w14:textId="615D7E28" w:rsidR="00D3102B" w:rsidRPr="00670221" w:rsidRDefault="00D3102B" w:rsidP="00D3102B">
      <w:pPr>
        <w:pStyle w:val="Caption"/>
        <w:rPr>
          <w:lang w:val="en-US"/>
        </w:rPr>
      </w:pPr>
      <w:bookmarkStart w:id="3" w:name="_Toc156570779"/>
      <w:bookmarkStart w:id="4" w:name="_Toc157171957"/>
      <w:bookmarkStart w:id="5" w:name="_Toc158900970"/>
      <w:bookmarkStart w:id="6" w:name="_Toc175592186"/>
      <w:bookmarkStart w:id="7" w:name="_Toc184403538"/>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1</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w:t>
      </w:r>
      <w:r w:rsidR="002A3EA2" w:rsidRPr="00670221">
        <w:rPr>
          <w:lang w:val="en-US"/>
        </w:rPr>
        <w:fldChar w:fldCharType="end"/>
      </w:r>
      <w:r w:rsidRPr="00670221">
        <w:rPr>
          <w:lang w:val="en-US"/>
        </w:rPr>
        <w:t>: Overview of CDR methods (Carbon Gap, n.d.)</w:t>
      </w:r>
      <w:bookmarkEnd w:id="3"/>
      <w:bookmarkEnd w:id="4"/>
      <w:bookmarkEnd w:id="5"/>
      <w:bookmarkEnd w:id="6"/>
      <w:bookmarkEnd w:id="7"/>
    </w:p>
    <w:p w14:paraId="427F7518" w14:textId="77777777" w:rsidR="00D3102B" w:rsidRPr="00670221" w:rsidRDefault="00D3102B" w:rsidP="00D3102B">
      <w:pPr>
        <w:rPr>
          <w:lang w:val="en-US"/>
        </w:rPr>
      </w:pPr>
    </w:p>
    <w:p w14:paraId="7C84C706" w14:textId="2A508AC9" w:rsidR="00D3102B" w:rsidRPr="00670221" w:rsidRDefault="00D3102B" w:rsidP="005873A1">
      <w:pPr>
        <w:pStyle w:val="Heading3"/>
      </w:pPr>
      <w:bookmarkStart w:id="8" w:name="_Toc156562668"/>
      <w:bookmarkStart w:id="9" w:name="_Toc184403410"/>
      <w:r w:rsidRPr="00670221">
        <w:t>S</w:t>
      </w:r>
      <w:r w:rsidR="0034405B" w:rsidRPr="00670221">
        <w:t>ustainable</w:t>
      </w:r>
      <w:r w:rsidRPr="00670221">
        <w:t xml:space="preserve"> Aviation Fuels</w:t>
      </w:r>
      <w:bookmarkEnd w:id="8"/>
      <w:bookmarkEnd w:id="9"/>
    </w:p>
    <w:p w14:paraId="0D6A2A04" w14:textId="754CFE36" w:rsidR="006A374F" w:rsidRPr="00670221" w:rsidRDefault="006A374F" w:rsidP="0007118C">
      <w:pPr>
        <w:rPr>
          <w:lang w:val="en-US"/>
        </w:rPr>
      </w:pPr>
      <w:r w:rsidRPr="00670221">
        <w:rPr>
          <w:lang w:val="en-US"/>
        </w:rPr>
        <w:t xml:space="preserve">According to the International Energy Agency (IEA, 2023), aviation contributes 2% of global energy-related </w:t>
      </w:r>
      <w:r w:rsidR="00547A15" w:rsidRPr="00670221">
        <w:rPr>
          <w:lang w:val="en-US"/>
        </w:rPr>
        <w:t xml:space="preserve">CO₂ </w:t>
      </w:r>
      <w:r w:rsidRPr="00670221">
        <w:rPr>
          <w:lang w:val="en-US"/>
        </w:rPr>
        <w:t xml:space="preserve">emissions, showing faster growth than other transportation sectors. This </w:t>
      </w:r>
      <w:r w:rsidRPr="00670221">
        <w:rPr>
          <w:lang w:val="en-US"/>
        </w:rPr>
        <w:lastRenderedPageBreak/>
        <w:t>demand is projected to rise further due to economic growth, particularly in low-income countries (Peacock et al., 2024). While enhancing energy efficiency and transitioning to non-emitting electricity sources can reduce emissions (</w:t>
      </w:r>
      <w:proofErr w:type="spellStart"/>
      <w:r w:rsidRPr="00670221">
        <w:rPr>
          <w:lang w:val="en-US"/>
        </w:rPr>
        <w:t>Bergero</w:t>
      </w:r>
      <w:proofErr w:type="spellEnd"/>
      <w:r w:rsidRPr="00670221">
        <w:rPr>
          <w:lang w:val="en-US"/>
        </w:rPr>
        <w:t xml:space="preserve"> et al., 2023), decarbonizing air travel poses unique challenges</w:t>
      </w:r>
      <w:r w:rsidR="00493328" w:rsidRPr="00670221">
        <w:rPr>
          <w:lang w:val="en-US"/>
        </w:rPr>
        <w:t>.</w:t>
      </w:r>
    </w:p>
    <w:p w14:paraId="29A938DE" w14:textId="77777777" w:rsidR="00C14B75" w:rsidRPr="00670221" w:rsidRDefault="0047016E" w:rsidP="0007118C">
      <w:pPr>
        <w:rPr>
          <w:lang w:val="en-US"/>
        </w:rPr>
      </w:pPr>
      <w:r w:rsidRPr="00670221">
        <w:rPr>
          <w:lang w:val="en-US"/>
        </w:rPr>
        <w:t>The pre</w:t>
      </w:r>
      <w:r w:rsidR="0026108F" w:rsidRPr="00670221">
        <w:rPr>
          <w:lang w:val="en-US"/>
        </w:rPr>
        <w:t>valent</w:t>
      </w:r>
      <w:r w:rsidRPr="00670221">
        <w:rPr>
          <w:lang w:val="en-US"/>
        </w:rPr>
        <w:t xml:space="preserve"> aviation model favors large aircraft carrying heavy loads, relying on energy-dense liquid hydrocarbons (Peacock et al., 2024). Transitioning to electric or hydrogen-powered planes in the short to medium term faces challenges due to their lower energy density compared to liquid fuels (</w:t>
      </w:r>
      <w:proofErr w:type="spellStart"/>
      <w:r w:rsidRPr="00670221">
        <w:rPr>
          <w:lang w:val="en-US"/>
        </w:rPr>
        <w:t>Hepperle</w:t>
      </w:r>
      <w:proofErr w:type="spellEnd"/>
      <w:r w:rsidRPr="00670221">
        <w:rPr>
          <w:lang w:val="en-US"/>
        </w:rPr>
        <w:t>, 2012). Hydrogen-powered planes require nearly four times the fuel volume of kerosene for the same power output. Thus, these technologies are primarily suitable for short-haul flights. However, redesigning aircraft, scaling up manufacturing, and integrating these new models into current markets present significant challenges. While these technologies may be crucial in the long term, the most immediate solution for widespread decarbonization lies in adopting Sustainable Aviation Fuels (SAFs) (</w:t>
      </w:r>
      <w:proofErr w:type="spellStart"/>
      <w:r w:rsidRPr="00670221">
        <w:rPr>
          <w:lang w:val="en-US"/>
        </w:rPr>
        <w:t>Chiaramonti</w:t>
      </w:r>
      <w:proofErr w:type="spellEnd"/>
      <w:r w:rsidRPr="00670221">
        <w:rPr>
          <w:lang w:val="en-US"/>
        </w:rPr>
        <w:t>, 2019; Peacock et al., 2024).</w:t>
      </w:r>
    </w:p>
    <w:p w14:paraId="05BD234A" w14:textId="37DE388F" w:rsidR="00F72CCA" w:rsidRPr="00670221" w:rsidRDefault="00F72CCA" w:rsidP="0007118C">
      <w:pPr>
        <w:rPr>
          <w:lang w:val="en-US"/>
        </w:rPr>
      </w:pPr>
      <w:r w:rsidRPr="00670221">
        <w:rPr>
          <w:lang w:val="en-US"/>
        </w:rPr>
        <w:t xml:space="preserve">Sustainable Aviation Fuels (SAFs) are jet fuels developed to minimize environmental impact and significantly reduce greenhouse gas emissions in the aviation sector. SAFs encompass a range of fuel types, including biofuels derived from organic feedstocks and synthetic fuels produced using renewable electricity. The latter category, often referred to as </w:t>
      </w:r>
      <w:proofErr w:type="spellStart"/>
      <w:r w:rsidRPr="00670221">
        <w:rPr>
          <w:lang w:val="en-US"/>
        </w:rPr>
        <w:t>eSAFs</w:t>
      </w:r>
      <w:proofErr w:type="spellEnd"/>
      <w:r w:rsidRPr="00670221">
        <w:rPr>
          <w:lang w:val="en-US"/>
        </w:rPr>
        <w:t xml:space="preserve"> or </w:t>
      </w:r>
      <w:proofErr w:type="spellStart"/>
      <w:r w:rsidRPr="00670221">
        <w:rPr>
          <w:lang w:val="en-US"/>
        </w:rPr>
        <w:t>electrofuels</w:t>
      </w:r>
      <w:proofErr w:type="spellEnd"/>
      <w:r w:rsidRPr="00670221">
        <w:rPr>
          <w:lang w:val="en-US"/>
        </w:rPr>
        <w:t xml:space="preserve">, involves processes such as capturing </w:t>
      </w:r>
      <w:r w:rsidR="00C16982" w:rsidRPr="00670221">
        <w:rPr>
          <w:lang w:val="en-US"/>
        </w:rPr>
        <w:t xml:space="preserve">CO₂ </w:t>
      </w:r>
      <w:r w:rsidRPr="00670221">
        <w:rPr>
          <w:lang w:val="en-US"/>
        </w:rPr>
        <w:t xml:space="preserve">and generating hydrogen through water electrolysis, known as </w:t>
      </w:r>
      <w:r w:rsidR="0082197B">
        <w:rPr>
          <w:lang w:val="en-US"/>
        </w:rPr>
        <w:t>p</w:t>
      </w:r>
      <w:r w:rsidRPr="00670221">
        <w:rPr>
          <w:lang w:val="en-US"/>
        </w:rPr>
        <w:t>ower-to-</w:t>
      </w:r>
      <w:r w:rsidR="0082197B">
        <w:rPr>
          <w:lang w:val="en-US"/>
        </w:rPr>
        <w:t>l</w:t>
      </w:r>
      <w:r w:rsidRPr="00670221">
        <w:rPr>
          <w:lang w:val="en-US"/>
        </w:rPr>
        <w:t>iquid (</w:t>
      </w:r>
      <w:proofErr w:type="spellStart"/>
      <w:r w:rsidRPr="00670221">
        <w:rPr>
          <w:lang w:val="en-US"/>
        </w:rPr>
        <w:t>PtL</w:t>
      </w:r>
      <w:proofErr w:type="spellEnd"/>
      <w:r w:rsidRPr="00670221">
        <w:rPr>
          <w:lang w:val="en-US"/>
        </w:rPr>
        <w:t>) (Dray et al., 2022; Pio et al., 2023). These advancements highlight the potential of SAFs to contribute to aviation's sustainability goals.</w:t>
      </w:r>
    </w:p>
    <w:p w14:paraId="201F8452" w14:textId="77777777" w:rsidR="00D3102B" w:rsidRPr="00670221" w:rsidRDefault="00D3102B" w:rsidP="006204AF">
      <w:pPr>
        <w:keepNext/>
        <w:jc w:val="center"/>
        <w:rPr>
          <w:lang w:val="en-US"/>
        </w:rPr>
      </w:pPr>
      <w:r w:rsidRPr="00670221">
        <w:rPr>
          <w:rFonts w:cstheme="minorHAnsi"/>
          <w:noProof/>
          <w:lang w:val="en-US"/>
        </w:rPr>
        <w:drawing>
          <wp:inline distT="0" distB="0" distL="0" distR="0" wp14:anchorId="67CE3BF3" wp14:editId="190BEFC4">
            <wp:extent cx="5383512" cy="2957689"/>
            <wp:effectExtent l="0" t="0" r="1905" b="1905"/>
            <wp:docPr id="955731204" name="Picture 7"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31204" name="Picture 7" descr="A close-up of a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08755" cy="2971557"/>
                    </a:xfrm>
                    <a:prstGeom prst="rect">
                      <a:avLst/>
                    </a:prstGeom>
                  </pic:spPr>
                </pic:pic>
              </a:graphicData>
            </a:graphic>
          </wp:inline>
        </w:drawing>
      </w:r>
    </w:p>
    <w:p w14:paraId="309F4EBD" w14:textId="7BF63D16" w:rsidR="005873A1" w:rsidRPr="00670221" w:rsidRDefault="00D3102B" w:rsidP="005873A1">
      <w:pPr>
        <w:pStyle w:val="Caption"/>
        <w:rPr>
          <w:lang w:val="en-US"/>
        </w:rPr>
      </w:pPr>
      <w:bookmarkStart w:id="10" w:name="_Toc157171958"/>
      <w:bookmarkStart w:id="11" w:name="_Toc158900971"/>
      <w:bookmarkStart w:id="12" w:name="_Toc175592187"/>
      <w:bookmarkStart w:id="13" w:name="_Toc184403539"/>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1</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2</w:t>
      </w:r>
      <w:r w:rsidR="002A3EA2" w:rsidRPr="00670221">
        <w:rPr>
          <w:lang w:val="en-US"/>
        </w:rPr>
        <w:fldChar w:fldCharType="end"/>
      </w:r>
      <w:r w:rsidRPr="00670221">
        <w:rPr>
          <w:lang w:val="en-US"/>
        </w:rPr>
        <w:t xml:space="preserve"> Sustainable Aviation Fuel Overview (Su-</w:t>
      </w:r>
      <w:proofErr w:type="spellStart"/>
      <w:r w:rsidRPr="00670221">
        <w:rPr>
          <w:lang w:val="en-US"/>
        </w:rPr>
        <w:t>Ungkavatin</w:t>
      </w:r>
      <w:proofErr w:type="spellEnd"/>
      <w:r w:rsidRPr="00670221">
        <w:rPr>
          <w:lang w:val="en-US"/>
        </w:rPr>
        <w:t xml:space="preserve"> et al., 2023)</w:t>
      </w:r>
      <w:bookmarkEnd w:id="10"/>
      <w:bookmarkEnd w:id="11"/>
      <w:bookmarkEnd w:id="12"/>
      <w:bookmarkEnd w:id="13"/>
    </w:p>
    <w:p w14:paraId="610E264E" w14:textId="77777777" w:rsidR="005873A1" w:rsidRPr="00670221" w:rsidRDefault="005873A1" w:rsidP="005873A1">
      <w:pPr>
        <w:rPr>
          <w:lang w:val="en-US"/>
        </w:rPr>
      </w:pPr>
    </w:p>
    <w:p w14:paraId="788A6E02" w14:textId="77777777" w:rsidR="00D3102B" w:rsidRPr="00670221" w:rsidRDefault="00D3102B" w:rsidP="005873A1">
      <w:pPr>
        <w:pStyle w:val="Heading3"/>
      </w:pPr>
      <w:bookmarkStart w:id="14" w:name="_Toc156562667"/>
      <w:bookmarkStart w:id="15" w:name="_Toc184403411"/>
      <w:r w:rsidRPr="00670221">
        <w:t>Direct Air Capture</w:t>
      </w:r>
      <w:bookmarkEnd w:id="14"/>
      <w:bookmarkEnd w:id="15"/>
    </w:p>
    <w:p w14:paraId="5C99BEBB" w14:textId="35732CB9" w:rsidR="00237ABD" w:rsidRPr="00670221" w:rsidRDefault="00A14D84" w:rsidP="006204AF">
      <w:pPr>
        <w:rPr>
          <w:lang w:val="en-US"/>
        </w:rPr>
      </w:pPr>
      <w:r w:rsidRPr="00670221">
        <w:rPr>
          <w:lang w:val="en-US"/>
        </w:rPr>
        <w:t xml:space="preserve">Direct </w:t>
      </w:r>
      <w:r w:rsidR="008F5637" w:rsidRPr="00670221">
        <w:rPr>
          <w:lang w:val="en-US"/>
        </w:rPr>
        <w:t>a</w:t>
      </w:r>
      <w:r w:rsidRPr="00670221">
        <w:rPr>
          <w:lang w:val="en-US"/>
        </w:rPr>
        <w:t xml:space="preserve">ir </w:t>
      </w:r>
      <w:r w:rsidR="008F5637" w:rsidRPr="00670221">
        <w:rPr>
          <w:lang w:val="en-US"/>
        </w:rPr>
        <w:t>c</w:t>
      </w:r>
      <w:r w:rsidRPr="00670221">
        <w:rPr>
          <w:lang w:val="en-US"/>
        </w:rPr>
        <w:t xml:space="preserve">apture is a form of Carbon Dioxide Removal and closely related to </w:t>
      </w:r>
      <w:r w:rsidR="00AF3B48" w:rsidRPr="00670221">
        <w:rPr>
          <w:lang w:val="en-US"/>
        </w:rPr>
        <w:t>S</w:t>
      </w:r>
      <w:r w:rsidRPr="00670221">
        <w:rPr>
          <w:lang w:val="en-US"/>
        </w:rPr>
        <w:t>AF</w:t>
      </w:r>
      <w:r w:rsidR="000A6632" w:rsidRPr="00670221">
        <w:rPr>
          <w:lang w:val="en-US"/>
        </w:rPr>
        <w:t>s</w:t>
      </w:r>
      <w:r w:rsidR="00FF212C" w:rsidRPr="00670221">
        <w:rPr>
          <w:lang w:val="en-US"/>
        </w:rPr>
        <w:t xml:space="preserve">. </w:t>
      </w:r>
      <w:r w:rsidRPr="00670221">
        <w:rPr>
          <w:lang w:val="en-US"/>
        </w:rPr>
        <w:t xml:space="preserve">The primary objective of </w:t>
      </w:r>
      <w:r w:rsidR="008F5637" w:rsidRPr="00670221">
        <w:rPr>
          <w:lang w:val="en-US"/>
        </w:rPr>
        <w:t>d</w:t>
      </w:r>
      <w:r w:rsidRPr="00670221">
        <w:rPr>
          <w:lang w:val="en-US"/>
        </w:rPr>
        <w:t xml:space="preserve">irect </w:t>
      </w:r>
      <w:r w:rsidR="008F5637" w:rsidRPr="00670221">
        <w:rPr>
          <w:lang w:val="en-US"/>
        </w:rPr>
        <w:t>a</w:t>
      </w:r>
      <w:r w:rsidRPr="00670221">
        <w:rPr>
          <w:lang w:val="en-US"/>
        </w:rPr>
        <w:t xml:space="preserve">ir </w:t>
      </w:r>
      <w:r w:rsidR="008F5637" w:rsidRPr="00670221">
        <w:rPr>
          <w:lang w:val="en-US"/>
        </w:rPr>
        <w:t>c</w:t>
      </w:r>
      <w:r w:rsidRPr="00670221">
        <w:rPr>
          <w:lang w:val="en-US"/>
        </w:rPr>
        <w:t>apture technologies is to extract CO</w:t>
      </w:r>
      <w:r w:rsidRPr="00670221">
        <w:rPr>
          <w:vertAlign w:val="subscript"/>
          <w:lang w:val="en-US"/>
        </w:rPr>
        <w:t>2</w:t>
      </w:r>
      <w:r w:rsidRPr="00670221">
        <w:rPr>
          <w:lang w:val="en-US"/>
        </w:rPr>
        <w:t xml:space="preserve"> from the atmosphere and concentrate it into a denser stream of CO</w:t>
      </w:r>
      <w:r w:rsidRPr="00670221">
        <w:rPr>
          <w:vertAlign w:val="subscript"/>
          <w:lang w:val="en-US"/>
        </w:rPr>
        <w:t>2</w:t>
      </w:r>
      <w:r w:rsidRPr="00670221">
        <w:rPr>
          <w:lang w:val="en-US"/>
        </w:rPr>
        <w:t>. This is challenging mainly because there are very few CO</w:t>
      </w:r>
      <w:r w:rsidRPr="00670221">
        <w:rPr>
          <w:vertAlign w:val="subscript"/>
          <w:lang w:val="en-US"/>
        </w:rPr>
        <w:t>2</w:t>
      </w:r>
      <w:r w:rsidRPr="00670221">
        <w:rPr>
          <w:lang w:val="en-US"/>
        </w:rPr>
        <w:t xml:space="preserve"> molecules in the air, approximately 417 parts per million (ppm) (National Oceanic and </w:t>
      </w:r>
      <w:r w:rsidRPr="00670221">
        <w:rPr>
          <w:lang w:val="en-US"/>
        </w:rPr>
        <w:lastRenderedPageBreak/>
        <w:t>Atmospheric Administration, 2023). For a meaningful impact on climate change, the captured carbon needs to be stored or recycled back into the atmosphere instead of fossil carbon (McQueen et al., 2021). Given the expansive nature of DAC's definition, there exists a diverse range of promising and evolving DAC techniques (National Academies of Sciences, Engineering, and Medicine, 2019). Despite this diversity, these technologies fundamentally adhere to the same principle illustrated in figure 1.3. Ambient air flows into the system (left side of the figure), where it is brought into contact with the sorbent. The sorbent is a chemical medium that can selectively adsorb CO</w:t>
      </w:r>
      <w:r w:rsidRPr="00670221">
        <w:rPr>
          <w:vertAlign w:val="subscript"/>
          <w:lang w:val="en-US"/>
        </w:rPr>
        <w:t>2</w:t>
      </w:r>
      <w:r w:rsidRPr="00670221">
        <w:rPr>
          <w:lang w:val="en-US"/>
        </w:rPr>
        <w:t>. An interaction between the sorbent and CO</w:t>
      </w:r>
      <w:r w:rsidRPr="00670221">
        <w:rPr>
          <w:vertAlign w:val="subscript"/>
          <w:lang w:val="en-US"/>
        </w:rPr>
        <w:t>2</w:t>
      </w:r>
      <w:r w:rsidRPr="00670221">
        <w:rPr>
          <w:lang w:val="en-US"/>
        </w:rPr>
        <w:t xml:space="preserve"> takes place. The CO</w:t>
      </w:r>
      <w:r w:rsidRPr="00670221">
        <w:rPr>
          <w:vertAlign w:val="subscript"/>
          <w:lang w:val="en-US"/>
        </w:rPr>
        <w:t>2</w:t>
      </w:r>
      <w:r w:rsidRPr="00670221">
        <w:rPr>
          <w:lang w:val="en-US"/>
        </w:rPr>
        <w:t xml:space="preserve"> - depleted air is removed from the system, as can be seen at the top of figure 1.3. In a second stage, the CO</w:t>
      </w:r>
      <w:r w:rsidRPr="00670221">
        <w:rPr>
          <w:vertAlign w:val="subscript"/>
          <w:lang w:val="en-US"/>
        </w:rPr>
        <w:t>2</w:t>
      </w:r>
      <w:r w:rsidRPr="00670221">
        <w:rPr>
          <w:lang w:val="en-US"/>
        </w:rPr>
        <w:t xml:space="preserve"> - sorbent mixture is separated again (regeneration). The sorbent is fed back so it can take up new CO</w:t>
      </w:r>
      <w:r w:rsidRPr="00670221">
        <w:rPr>
          <w:vertAlign w:val="subscript"/>
          <w:lang w:val="en-US"/>
        </w:rPr>
        <w:t>2</w:t>
      </w:r>
      <w:r w:rsidRPr="00670221">
        <w:rPr>
          <w:lang w:val="en-US"/>
        </w:rPr>
        <w:t>. On the right side of the figure, the concentrated CO</w:t>
      </w:r>
      <w:r w:rsidRPr="00670221">
        <w:rPr>
          <w:vertAlign w:val="subscript"/>
          <w:lang w:val="en-US"/>
        </w:rPr>
        <w:t>2</w:t>
      </w:r>
      <w:r w:rsidRPr="00670221">
        <w:rPr>
          <w:lang w:val="en-US"/>
        </w:rPr>
        <w:t xml:space="preserve"> is removed from the system, after which it can be processed depending on its application.</w:t>
      </w:r>
      <w:r w:rsidR="002A6B52" w:rsidRPr="00670221">
        <w:rPr>
          <w:lang w:val="en-US"/>
        </w:rPr>
        <w:t xml:space="preserve"> T</w:t>
      </w:r>
      <w:r w:rsidRPr="00670221">
        <w:rPr>
          <w:lang w:val="en-US"/>
        </w:rPr>
        <w:t>his CO</w:t>
      </w:r>
      <w:r w:rsidRPr="00670221">
        <w:rPr>
          <w:vertAlign w:val="subscript"/>
          <w:lang w:val="en-US"/>
        </w:rPr>
        <w:t>2</w:t>
      </w:r>
      <w:r w:rsidRPr="00670221">
        <w:rPr>
          <w:lang w:val="en-US"/>
        </w:rPr>
        <w:t xml:space="preserve"> serves as carbon feedstock</w:t>
      </w:r>
      <w:r w:rsidR="002A6B52" w:rsidRPr="00670221">
        <w:rPr>
          <w:lang w:val="en-US"/>
        </w:rPr>
        <w:t xml:space="preserve"> for e-fuel production</w:t>
      </w:r>
      <w:r w:rsidRPr="00670221">
        <w:rPr>
          <w:lang w:val="en-US"/>
        </w:rPr>
        <w:t>. Currently, the two most advanced methods in the field are solid sorbent and liquid solvent DAC (McQueen et al., 2021; Zeeshan et al., 2023).</w:t>
      </w:r>
    </w:p>
    <w:p w14:paraId="730FFAEB" w14:textId="064AEB18" w:rsidR="00D3102B" w:rsidRPr="00670221" w:rsidRDefault="00237ABD" w:rsidP="00A14D84">
      <w:pPr>
        <w:rPr>
          <w:lang w:val="en-US"/>
        </w:rPr>
      </w:pPr>
      <w:r w:rsidRPr="00670221">
        <w:rPr>
          <w:noProof/>
          <w:lang w:val="en-US"/>
        </w:rPr>
        <w:drawing>
          <wp:inline distT="0" distB="0" distL="0" distR="0" wp14:anchorId="06D33918" wp14:editId="704210B4">
            <wp:extent cx="5715000" cy="2008907"/>
            <wp:effectExtent l="0" t="0" r="0" b="0"/>
            <wp:docPr id="1589011598" name="Picture 6" descr="A diagram of a co2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11598" name="Picture 6" descr="A diagram of a co2 proces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285488" cy="2209442"/>
                    </a:xfrm>
                    <a:prstGeom prst="rect">
                      <a:avLst/>
                    </a:prstGeom>
                  </pic:spPr>
                </pic:pic>
              </a:graphicData>
            </a:graphic>
          </wp:inline>
        </w:drawing>
      </w:r>
    </w:p>
    <w:p w14:paraId="6818B11D" w14:textId="456A8A47" w:rsidR="007A2A38" w:rsidRPr="00670221" w:rsidRDefault="00D3102B" w:rsidP="007A2A38">
      <w:pPr>
        <w:pStyle w:val="Caption"/>
        <w:rPr>
          <w:lang w:val="en-US"/>
        </w:rPr>
      </w:pPr>
      <w:bookmarkStart w:id="16" w:name="_Toc157171959"/>
      <w:bookmarkStart w:id="17" w:name="_Toc158900972"/>
      <w:bookmarkStart w:id="18" w:name="_Toc175592188"/>
      <w:bookmarkStart w:id="19" w:name="_Toc184403540"/>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1</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3</w:t>
      </w:r>
      <w:r w:rsidR="002A3EA2" w:rsidRPr="00670221">
        <w:rPr>
          <w:lang w:val="en-US"/>
        </w:rPr>
        <w:fldChar w:fldCharType="end"/>
      </w:r>
      <w:r w:rsidRPr="00670221">
        <w:rPr>
          <w:lang w:val="en-US"/>
        </w:rPr>
        <w:t xml:space="preserve"> Basic DAC-</w:t>
      </w:r>
      <w:proofErr w:type="gramStart"/>
      <w:r w:rsidRPr="00670221">
        <w:rPr>
          <w:lang w:val="en-US"/>
        </w:rPr>
        <w:t>principle</w:t>
      </w:r>
      <w:proofErr w:type="gramEnd"/>
      <w:r w:rsidRPr="00670221">
        <w:rPr>
          <w:lang w:val="en-US"/>
        </w:rPr>
        <w:t xml:space="preserve"> flow diagram</w:t>
      </w:r>
      <w:bookmarkEnd w:id="16"/>
      <w:bookmarkEnd w:id="17"/>
      <w:bookmarkEnd w:id="18"/>
      <w:bookmarkEnd w:id="19"/>
    </w:p>
    <w:p w14:paraId="41231841" w14:textId="77777777" w:rsidR="007A2A38" w:rsidRPr="00670221" w:rsidRDefault="007A2A38" w:rsidP="007A2A38">
      <w:pPr>
        <w:rPr>
          <w:lang w:val="en-US"/>
        </w:rPr>
      </w:pPr>
    </w:p>
    <w:p w14:paraId="1FC23797" w14:textId="2ECB1CF8" w:rsidR="009E6D79" w:rsidRPr="00670221" w:rsidRDefault="009E6D79" w:rsidP="007A2A38">
      <w:pPr>
        <w:pStyle w:val="Heading2"/>
      </w:pPr>
      <w:bookmarkStart w:id="20" w:name="_Toc184403412"/>
      <w:r w:rsidRPr="00670221">
        <w:t>Problem statement</w:t>
      </w:r>
      <w:bookmarkEnd w:id="20"/>
    </w:p>
    <w:p w14:paraId="02062C52" w14:textId="33E1B36B" w:rsidR="00A30AE7" w:rsidRPr="00670221" w:rsidRDefault="00240DFD" w:rsidP="00240DFD">
      <w:pPr>
        <w:rPr>
          <w:lang w:val="en-US"/>
        </w:rPr>
      </w:pPr>
      <w:r w:rsidRPr="00670221">
        <w:rPr>
          <w:lang w:val="en-US"/>
        </w:rPr>
        <w:t>The aviation sector is one of the most challenging to decarbonize due to its reliance on energy-dense fossil fuels and the high costs associated with alternative technologies. As global warming intensifies</w:t>
      </w:r>
      <w:r w:rsidR="00A30AE7" w:rsidRPr="00670221">
        <w:rPr>
          <w:lang w:val="en-US"/>
        </w:rPr>
        <w:t xml:space="preserve"> </w:t>
      </w:r>
      <w:r w:rsidRPr="00670221">
        <w:rPr>
          <w:lang w:val="en-US"/>
        </w:rPr>
        <w:t>(Kumar et al., 2015), the urgency to decarbonize aviation has become critical. However, current low-carbon alternatives, such as hydrogen and batteries, face significant barriers, including non-existent fueling infrastructure and lower energy density compared to hydrocarbons (</w:t>
      </w:r>
      <w:proofErr w:type="spellStart"/>
      <w:r w:rsidRPr="00670221">
        <w:rPr>
          <w:lang w:val="en-US"/>
        </w:rPr>
        <w:t>Hepperle</w:t>
      </w:r>
      <w:proofErr w:type="spellEnd"/>
      <w:r w:rsidRPr="00670221">
        <w:rPr>
          <w:lang w:val="en-US"/>
        </w:rPr>
        <w:t>, 2012). These challenges make hydrocarbons the preferred choice for long-haul flights, posing a significant obstacle to the sector's decarbonization (Peacock et al., 2024)</w:t>
      </w:r>
      <w:r w:rsidR="00274450" w:rsidRPr="00670221">
        <w:rPr>
          <w:lang w:val="en-US"/>
        </w:rPr>
        <w:t xml:space="preserve">, but </w:t>
      </w:r>
      <w:r w:rsidR="003260E6" w:rsidRPr="00670221">
        <w:rPr>
          <w:lang w:val="en-US"/>
        </w:rPr>
        <w:t xml:space="preserve">also </w:t>
      </w:r>
      <w:r w:rsidR="00EE1494" w:rsidRPr="00670221">
        <w:rPr>
          <w:lang w:val="en-US"/>
        </w:rPr>
        <w:t xml:space="preserve">presenting </w:t>
      </w:r>
      <w:r w:rsidR="003260E6" w:rsidRPr="00670221">
        <w:rPr>
          <w:lang w:val="en-US"/>
        </w:rPr>
        <w:t>a</w:t>
      </w:r>
      <w:r w:rsidR="00274450" w:rsidRPr="00670221">
        <w:rPr>
          <w:lang w:val="en-US"/>
        </w:rPr>
        <w:t xml:space="preserve">n opportunity for sustainable aviation fuels. </w:t>
      </w:r>
    </w:p>
    <w:p w14:paraId="6EA77886" w14:textId="3A3E4C6B" w:rsidR="00240DFD" w:rsidRPr="00670221" w:rsidRDefault="00240DFD" w:rsidP="00240DFD">
      <w:pPr>
        <w:rPr>
          <w:lang w:val="en-US"/>
        </w:rPr>
      </w:pPr>
      <w:r w:rsidRPr="00670221">
        <w:rPr>
          <w:lang w:val="en-US"/>
        </w:rPr>
        <w:t xml:space="preserve">Technologies such as </w:t>
      </w:r>
      <w:r w:rsidR="004A0212" w:rsidRPr="00670221">
        <w:rPr>
          <w:lang w:val="en-US"/>
        </w:rPr>
        <w:t>p</w:t>
      </w:r>
      <w:r w:rsidRPr="00670221">
        <w:rPr>
          <w:lang w:val="en-US"/>
        </w:rPr>
        <w:t>ower-to-</w:t>
      </w:r>
      <w:r w:rsidR="004A0212" w:rsidRPr="00670221">
        <w:rPr>
          <w:lang w:val="en-US"/>
        </w:rPr>
        <w:t>l</w:t>
      </w:r>
      <w:r w:rsidRPr="00670221">
        <w:rPr>
          <w:lang w:val="en-US"/>
        </w:rPr>
        <w:t xml:space="preserve">iquid and </w:t>
      </w:r>
      <w:r w:rsidR="004A0212" w:rsidRPr="00670221">
        <w:rPr>
          <w:lang w:val="en-US"/>
        </w:rPr>
        <w:t>d</w:t>
      </w:r>
      <w:r w:rsidRPr="00670221">
        <w:rPr>
          <w:lang w:val="en-US"/>
        </w:rPr>
        <w:t xml:space="preserve">irect </w:t>
      </w:r>
      <w:r w:rsidR="004A0212" w:rsidRPr="00670221">
        <w:rPr>
          <w:lang w:val="en-US"/>
        </w:rPr>
        <w:t>a</w:t>
      </w:r>
      <w:r w:rsidRPr="00670221">
        <w:rPr>
          <w:lang w:val="en-US"/>
        </w:rPr>
        <w:t xml:space="preserve">ir </w:t>
      </w:r>
      <w:r w:rsidR="004A0212" w:rsidRPr="00670221">
        <w:rPr>
          <w:lang w:val="en-US"/>
        </w:rPr>
        <w:t>c</w:t>
      </w:r>
      <w:r w:rsidRPr="00670221">
        <w:rPr>
          <w:lang w:val="en-US"/>
        </w:rPr>
        <w:t>apture have received significant attention</w:t>
      </w:r>
      <w:r w:rsidR="00237305" w:rsidRPr="00670221">
        <w:rPr>
          <w:lang w:val="en-US"/>
        </w:rPr>
        <w:t xml:space="preserve"> </w:t>
      </w:r>
      <w:r w:rsidRPr="00670221">
        <w:rPr>
          <w:lang w:val="en-US"/>
        </w:rPr>
        <w:t>for their potential to produce carbon-neutral fuels</w:t>
      </w:r>
      <w:r w:rsidR="00493328" w:rsidRPr="00670221">
        <w:rPr>
          <w:lang w:val="en-US"/>
        </w:rPr>
        <w:t xml:space="preserve"> </w:t>
      </w:r>
      <w:r w:rsidRPr="00670221">
        <w:rPr>
          <w:lang w:val="en-US"/>
        </w:rPr>
        <w:t xml:space="preserve">(McQueen et al., 2021; Pio et al., 2023). </w:t>
      </w:r>
      <w:r w:rsidR="00207751" w:rsidRPr="00670221">
        <w:rPr>
          <w:lang w:val="en-US"/>
        </w:rPr>
        <w:t>Recognizing the importance of SAF, the European Union has introduced regulations to help decarbonize the aviation sector through SAF adoption</w:t>
      </w:r>
      <w:r w:rsidR="006026FE" w:rsidRPr="00670221">
        <w:rPr>
          <w:lang w:val="en-US"/>
        </w:rPr>
        <w:t xml:space="preserve"> (Counci</w:t>
      </w:r>
      <w:r w:rsidR="00F960A3" w:rsidRPr="00670221">
        <w:rPr>
          <w:lang w:val="en-US"/>
        </w:rPr>
        <w:t>l</w:t>
      </w:r>
      <w:r w:rsidR="006026FE" w:rsidRPr="00670221">
        <w:rPr>
          <w:lang w:val="en-US"/>
        </w:rPr>
        <w:t xml:space="preserve"> of the EU, 2023)</w:t>
      </w:r>
      <w:r w:rsidR="00207751" w:rsidRPr="00670221">
        <w:rPr>
          <w:lang w:val="en-US"/>
        </w:rPr>
        <w:t>.</w:t>
      </w:r>
      <w:r w:rsidR="006026FE" w:rsidRPr="00670221">
        <w:rPr>
          <w:lang w:val="en-US"/>
        </w:rPr>
        <w:t xml:space="preserve"> </w:t>
      </w:r>
      <w:r w:rsidRPr="00670221">
        <w:rPr>
          <w:lang w:val="en-US"/>
        </w:rPr>
        <w:t>However, despite their promise, the adoption of these technologies has been slow due to high costs and technological complexities (</w:t>
      </w:r>
      <w:proofErr w:type="spellStart"/>
      <w:r w:rsidRPr="00670221">
        <w:rPr>
          <w:lang w:val="en-US"/>
        </w:rPr>
        <w:t>Becattini</w:t>
      </w:r>
      <w:proofErr w:type="spellEnd"/>
      <w:r w:rsidRPr="00670221">
        <w:rPr>
          <w:lang w:val="en-US"/>
        </w:rPr>
        <w:t xml:space="preserve"> et al., 2021; Martin et al., 2023). This situation creates a </w:t>
      </w:r>
      <w:r w:rsidRPr="00670221">
        <w:rPr>
          <w:lang w:val="en-US"/>
        </w:rPr>
        <w:lastRenderedPageBreak/>
        <w:t>vicious cycle: the technology remains too expensive to adopt widely, and without widespread adoption, costs cannot decrease through economies of scale and practical experience</w:t>
      </w:r>
      <w:r w:rsidR="004B65D9" w:rsidRPr="00670221">
        <w:rPr>
          <w:lang w:val="en-US"/>
        </w:rPr>
        <w:t xml:space="preserve">. </w:t>
      </w:r>
      <w:r w:rsidR="00A70736" w:rsidRPr="00670221">
        <w:rPr>
          <w:lang w:val="en-US"/>
        </w:rPr>
        <w:t xml:space="preserve">This </w:t>
      </w:r>
      <w:r w:rsidR="00A30E10" w:rsidRPr="00670221">
        <w:rPr>
          <w:lang w:val="en-US"/>
        </w:rPr>
        <w:t>complexity</w:t>
      </w:r>
      <w:r w:rsidR="00A70736" w:rsidRPr="00670221">
        <w:rPr>
          <w:lang w:val="en-US"/>
        </w:rPr>
        <w:t xml:space="preserve"> is often referred to as a “chicken-or-egg” problem (</w:t>
      </w:r>
      <w:proofErr w:type="spellStart"/>
      <w:r w:rsidR="00A70736" w:rsidRPr="00670221">
        <w:rPr>
          <w:lang w:val="en-US"/>
        </w:rPr>
        <w:t>Erriu</w:t>
      </w:r>
      <w:proofErr w:type="spellEnd"/>
      <w:r w:rsidR="00A70736" w:rsidRPr="00670221">
        <w:rPr>
          <w:lang w:val="en-US"/>
        </w:rPr>
        <w:t xml:space="preserve"> et al., 2024). </w:t>
      </w:r>
      <w:r w:rsidRPr="00670221">
        <w:rPr>
          <w:lang w:val="en-US"/>
        </w:rPr>
        <w:t>This cycle further delays progress toward decarbonizing the aviation sector.</w:t>
      </w:r>
    </w:p>
    <w:p w14:paraId="698E4AE2" w14:textId="3E757112" w:rsidR="00240DFD" w:rsidRPr="00670221" w:rsidRDefault="00240DFD" w:rsidP="00240DFD">
      <w:pPr>
        <w:rPr>
          <w:lang w:val="en-US"/>
        </w:rPr>
      </w:pPr>
      <w:r w:rsidRPr="00670221">
        <w:rPr>
          <w:lang w:val="en-US"/>
        </w:rPr>
        <w:t>Immediate investment in projects is essential for achieving future cost reductions and facilitating the broader adoption of these technologies. Beyond the economic considerations, successfully implementing these projects necessitates a comprehensive understanding of the current socio-technical system, including regulatory, social, and market dynamics (Neuwirth et al., 2022). By thoroughly analyzing these broader factors, it is possible to identify</w:t>
      </w:r>
      <w:r w:rsidR="00151AED" w:rsidRPr="00670221">
        <w:rPr>
          <w:lang w:val="en-US"/>
        </w:rPr>
        <w:t xml:space="preserve"> the </w:t>
      </w:r>
      <w:r w:rsidR="00B71F55" w:rsidRPr="00670221">
        <w:rPr>
          <w:lang w:val="en-US"/>
        </w:rPr>
        <w:t>technology</w:t>
      </w:r>
      <w:r w:rsidRPr="00670221">
        <w:rPr>
          <w:lang w:val="en-US"/>
        </w:rPr>
        <w:t xml:space="preserve"> that aligns with the existing socio-technical landscape and can be effectively implemented in the near term.</w:t>
      </w:r>
    </w:p>
    <w:p w14:paraId="6A5E3D1A" w14:textId="0CB2C181" w:rsidR="00151AED" w:rsidRPr="00670221" w:rsidRDefault="00151AED" w:rsidP="00240DFD">
      <w:pPr>
        <w:rPr>
          <w:lang w:val="en-US"/>
        </w:rPr>
      </w:pPr>
      <w:r w:rsidRPr="00670221">
        <w:rPr>
          <w:lang w:val="en-US"/>
        </w:rPr>
        <w:t xml:space="preserve">While much of the current research provides detailed techno-economic analyses of sustainable aviation fuels, there is potential to further enhance these studies by also studying socio-technical considerations and emerging technologies like </w:t>
      </w:r>
      <w:r w:rsidR="00C8110B" w:rsidRPr="00670221">
        <w:rPr>
          <w:lang w:val="en-US"/>
        </w:rPr>
        <w:t>s</w:t>
      </w:r>
      <w:r w:rsidRPr="00670221">
        <w:rPr>
          <w:lang w:val="en-US"/>
        </w:rPr>
        <w:t xml:space="preserve">olid </w:t>
      </w:r>
      <w:r w:rsidR="00C8110B" w:rsidRPr="00670221">
        <w:rPr>
          <w:lang w:val="en-US"/>
        </w:rPr>
        <w:t>o</w:t>
      </w:r>
      <w:r w:rsidRPr="00670221">
        <w:rPr>
          <w:lang w:val="en-US"/>
        </w:rPr>
        <w:t xml:space="preserve">xide </w:t>
      </w:r>
      <w:r w:rsidR="00C8110B" w:rsidRPr="00670221">
        <w:rPr>
          <w:lang w:val="en-US"/>
        </w:rPr>
        <w:t>e</w:t>
      </w:r>
      <w:r w:rsidRPr="00670221">
        <w:rPr>
          <w:lang w:val="en-US"/>
        </w:rPr>
        <w:t>lectrolysis. Expanding the focus to include these factors will enrich our understanding of the interactions between various stakeholders, regulations, and technological choices, offering a more comprehensive perspective on near-term deployment.</w:t>
      </w:r>
    </w:p>
    <w:p w14:paraId="4ABC3003" w14:textId="47A0A6E7" w:rsidR="00BD43AE" w:rsidRPr="00670221" w:rsidRDefault="00BD43AE" w:rsidP="00240DFD">
      <w:pPr>
        <w:rPr>
          <w:lang w:val="en-US"/>
        </w:rPr>
      </w:pPr>
      <w:r w:rsidRPr="00670221">
        <w:rPr>
          <w:lang w:val="en-US"/>
        </w:rPr>
        <w:t>This research will build on existing insights by not only comparing DAC within a socio-technical context but also exploring its role alongside competing technologies. By doing so, it seeks to identify the most promising SAF technology for near-term implementation in the EU</w:t>
      </w:r>
      <w:r w:rsidR="008621C2">
        <w:rPr>
          <w:lang w:val="en-US"/>
        </w:rPr>
        <w:t xml:space="preserve"> as well as </w:t>
      </w:r>
      <w:r w:rsidR="00DB2188">
        <w:rPr>
          <w:lang w:val="en-US"/>
        </w:rPr>
        <w:t>criteria to do so</w:t>
      </w:r>
      <w:r w:rsidRPr="00670221">
        <w:rPr>
          <w:lang w:val="en-US"/>
        </w:rPr>
        <w:t>. The selected pathways will be assessed through a detailed techno-economic analysis, providing decision-makers with informed recommendations aligned with the EU’s decarbonization goals.</w:t>
      </w:r>
    </w:p>
    <w:p w14:paraId="7FBA1E27" w14:textId="77777777" w:rsidR="007A2A38" w:rsidRPr="00670221" w:rsidRDefault="007A2A38" w:rsidP="00240DFD">
      <w:pPr>
        <w:rPr>
          <w:lang w:val="en-US"/>
        </w:rPr>
      </w:pPr>
    </w:p>
    <w:p w14:paraId="1A3256CC" w14:textId="5EAC6AED" w:rsidR="00A16717" w:rsidRPr="00670221" w:rsidRDefault="00920ADA" w:rsidP="00A16717">
      <w:pPr>
        <w:pStyle w:val="Heading2"/>
      </w:pPr>
      <w:bookmarkStart w:id="21" w:name="_Toc184403413"/>
      <w:r w:rsidRPr="00670221">
        <w:t>State of the Art</w:t>
      </w:r>
      <w:bookmarkEnd w:id="21"/>
    </w:p>
    <w:p w14:paraId="7B873694" w14:textId="320C3D7F" w:rsidR="00235356" w:rsidRPr="00670221" w:rsidRDefault="00277F82" w:rsidP="00277F82">
      <w:pPr>
        <w:rPr>
          <w:lang w:val="en-US"/>
        </w:rPr>
      </w:pPr>
      <w:r w:rsidRPr="00670221">
        <w:rPr>
          <w:lang w:val="en-US"/>
        </w:rPr>
        <w:t xml:space="preserve">Scopus served as the literature database. The search strategy involved an iterative process of progressively combining more synonyms for DAC and SAF as search terms until no additional hits were generated. This resulted in 48 hits. The synonyms used are detailed in </w:t>
      </w:r>
      <w:r w:rsidR="00C9536F" w:rsidRPr="00670221">
        <w:rPr>
          <w:lang w:val="en-US"/>
        </w:rPr>
        <w:t xml:space="preserve">Appendix A </w:t>
      </w:r>
      <w:r w:rsidRPr="00670221">
        <w:rPr>
          <w:lang w:val="en-US"/>
        </w:rPr>
        <w:t xml:space="preserve">table 6.1, with the final search query provided underneath the table. The results were further refined by limiting the document type to articles with open access. Finally, the relevance of the individual abstracts from these 23 articles was assessed. The reasons for exclusion can be found in Appendix B. The selected 10 articles are </w:t>
      </w:r>
      <w:proofErr w:type="spellStart"/>
      <w:r w:rsidRPr="00670221">
        <w:rPr>
          <w:lang w:val="en-US"/>
        </w:rPr>
        <w:t>are</w:t>
      </w:r>
      <w:proofErr w:type="spellEnd"/>
      <w:r w:rsidRPr="00670221">
        <w:rPr>
          <w:lang w:val="en-US"/>
        </w:rPr>
        <w:t xml:space="preserve"> presented in overview Appendix C. The search strategy is additionally depicted in figure </w:t>
      </w:r>
      <w:r w:rsidR="002940E5" w:rsidRPr="00670221">
        <w:rPr>
          <w:lang w:val="en-US"/>
        </w:rPr>
        <w:t>1</w:t>
      </w:r>
      <w:r w:rsidRPr="00670221">
        <w:rPr>
          <w:lang w:val="en-US"/>
        </w:rPr>
        <w:t>.</w:t>
      </w:r>
      <w:r w:rsidR="002940E5" w:rsidRPr="00670221">
        <w:rPr>
          <w:lang w:val="en-US"/>
        </w:rPr>
        <w:t>4</w:t>
      </w:r>
      <w:r w:rsidRPr="00670221">
        <w:rPr>
          <w:lang w:val="en-US"/>
        </w:rPr>
        <w:t xml:space="preserve"> below.</w:t>
      </w:r>
    </w:p>
    <w:p w14:paraId="71D78762" w14:textId="77777777" w:rsidR="00235356" w:rsidRPr="00670221" w:rsidRDefault="00235356" w:rsidP="00277F82">
      <w:pPr>
        <w:rPr>
          <w:lang w:val="en-US"/>
        </w:rPr>
      </w:pPr>
    </w:p>
    <w:p w14:paraId="2AB44FCB" w14:textId="77777777" w:rsidR="00E217A6" w:rsidRPr="00670221" w:rsidRDefault="00551AEA" w:rsidP="002940E5">
      <w:pPr>
        <w:keepNext/>
        <w:jc w:val="center"/>
        <w:rPr>
          <w:lang w:val="en-US"/>
        </w:rPr>
      </w:pPr>
      <w:r w:rsidRPr="00670221">
        <w:rPr>
          <w:noProof/>
          <w:lang w:val="en-US"/>
        </w:rPr>
        <w:lastRenderedPageBreak/>
        <w:drawing>
          <wp:inline distT="0" distB="0" distL="0" distR="0" wp14:anchorId="336FBC01" wp14:editId="78816540">
            <wp:extent cx="5303520" cy="3698240"/>
            <wp:effectExtent l="0" t="0" r="0" b="10160"/>
            <wp:docPr id="712435044" name="Diagram 1">
              <a:extLst xmlns:a="http://schemas.openxmlformats.org/drawingml/2006/main">
                <a:ext uri="{FF2B5EF4-FFF2-40B4-BE49-F238E27FC236}">
                  <a16:creationId xmlns:a16="http://schemas.microsoft.com/office/drawing/2014/main" id="{CB14C895-907D-9BBE-B665-438306198FA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AB07905" w14:textId="115500EA" w:rsidR="00E217A6" w:rsidRPr="00670221" w:rsidRDefault="00E217A6" w:rsidP="00235356">
      <w:pPr>
        <w:pStyle w:val="Caption"/>
        <w:rPr>
          <w:lang w:val="en-US"/>
        </w:rPr>
      </w:pPr>
      <w:bookmarkStart w:id="22" w:name="_Toc184403541"/>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1</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4</w:t>
      </w:r>
      <w:r w:rsidR="002A3EA2" w:rsidRPr="00670221">
        <w:rPr>
          <w:lang w:val="en-US"/>
        </w:rPr>
        <w:fldChar w:fldCharType="end"/>
      </w:r>
      <w:r w:rsidRPr="00670221">
        <w:rPr>
          <w:lang w:val="en-US"/>
        </w:rPr>
        <w:t>: Nested circle graph of Scopus search strategy hits</w:t>
      </w:r>
      <w:bookmarkEnd w:id="22"/>
    </w:p>
    <w:p w14:paraId="4D57BF3B" w14:textId="229D0349" w:rsidR="00A16717" w:rsidRPr="00670221" w:rsidRDefault="00A16717" w:rsidP="00277F82">
      <w:pPr>
        <w:rPr>
          <w:lang w:val="en-US"/>
        </w:rPr>
      </w:pPr>
      <w:r w:rsidRPr="00670221">
        <w:rPr>
          <w:lang w:val="en-US"/>
        </w:rPr>
        <w:t>The literature selected through th</w:t>
      </w:r>
      <w:r w:rsidR="00E217A6" w:rsidRPr="00670221">
        <w:rPr>
          <w:lang w:val="en-US"/>
        </w:rPr>
        <w:t>is</w:t>
      </w:r>
      <w:r w:rsidRPr="00670221">
        <w:rPr>
          <w:lang w:val="en-US"/>
        </w:rPr>
        <w:t xml:space="preserve"> process was reviewed and organized based on common elements and themes. </w:t>
      </w:r>
    </w:p>
    <w:p w14:paraId="02248039" w14:textId="2E2F6AC2" w:rsidR="00A16717" w:rsidRPr="00670221" w:rsidRDefault="00A16717" w:rsidP="00A16717">
      <w:pPr>
        <w:rPr>
          <w:lang w:val="en-US"/>
        </w:rPr>
      </w:pPr>
      <w:r w:rsidRPr="00670221">
        <w:rPr>
          <w:lang w:val="en-US"/>
        </w:rPr>
        <w:t xml:space="preserve">Each article examined employed a model supported by scenario analysis. While one article discussed a pilot study, most focused on developing a model that necessitated specifying location, energy supply, fuel type, and fuel production method. Two distinct types of literature emerged: techno-economic analyses </w:t>
      </w:r>
      <w:r w:rsidR="006C0BA1" w:rsidRPr="00670221">
        <w:rPr>
          <w:lang w:val="en-US"/>
        </w:rPr>
        <w:t xml:space="preserve">(TEA) </w:t>
      </w:r>
      <w:r w:rsidRPr="00670221">
        <w:rPr>
          <w:lang w:val="en-US"/>
        </w:rPr>
        <w:t>and life cycle analyses. Seven articles fell into the techno-economic analysis category, with two articles specifically detailing a novel production pathway, one article combining two pathways and one article doing a techno-economic, as well as life cycle analysis. The remaining three sources pertained to life cycle analyses.</w:t>
      </w:r>
    </w:p>
    <w:p w14:paraId="26959116" w14:textId="53A33C4B" w:rsidR="000002D2" w:rsidRPr="00E254AF" w:rsidRDefault="000002D2" w:rsidP="00E254AF">
      <w:pPr>
        <w:pStyle w:val="Heading4"/>
      </w:pPr>
      <w:r w:rsidRPr="00E254AF">
        <w:t xml:space="preserve">Techno-Economic </w:t>
      </w:r>
      <w:r w:rsidR="00746D44" w:rsidRPr="00E254AF">
        <w:t>Assessment</w:t>
      </w:r>
    </w:p>
    <w:p w14:paraId="09FFD0AF" w14:textId="26D9F133" w:rsidR="000067EC" w:rsidRPr="00670221" w:rsidRDefault="00A16717" w:rsidP="00A16717">
      <w:pPr>
        <w:rPr>
          <w:lang w:val="en-US"/>
        </w:rPr>
      </w:pPr>
      <w:proofErr w:type="spellStart"/>
      <w:r w:rsidRPr="00670221">
        <w:rPr>
          <w:lang w:val="en-US"/>
        </w:rPr>
        <w:t>Becattini</w:t>
      </w:r>
      <w:proofErr w:type="spellEnd"/>
      <w:r w:rsidRPr="00670221">
        <w:rPr>
          <w:lang w:val="en-US"/>
        </w:rPr>
        <w:t xml:space="preserve"> et al. (2021) explore strategies for achieving net-zero </w:t>
      </w:r>
      <w:r w:rsidR="00AC091D" w:rsidRPr="00670221">
        <w:rPr>
          <w:lang w:val="en-US"/>
        </w:rPr>
        <w:t xml:space="preserve">CO₂ </w:t>
      </w:r>
      <w:r w:rsidRPr="00670221">
        <w:rPr>
          <w:lang w:val="en-US"/>
        </w:rPr>
        <w:t xml:space="preserve">emissions in aviation until 2050. They </w:t>
      </w:r>
      <w:r w:rsidR="000067EC" w:rsidRPr="00670221">
        <w:rPr>
          <w:lang w:val="en-US"/>
        </w:rPr>
        <w:t xml:space="preserve">demonstrate that mitigating fossil fuel use </w:t>
      </w:r>
      <w:r w:rsidR="00BC63BB" w:rsidRPr="00670221">
        <w:rPr>
          <w:lang w:val="en-US"/>
        </w:rPr>
        <w:t>by combining</w:t>
      </w:r>
      <w:r w:rsidR="000067EC" w:rsidRPr="00670221">
        <w:rPr>
          <w:lang w:val="en-US"/>
        </w:rPr>
        <w:t xml:space="preserve"> </w:t>
      </w:r>
      <w:r w:rsidR="00BC63BB" w:rsidRPr="00670221">
        <w:rPr>
          <w:lang w:val="en-US"/>
        </w:rPr>
        <w:t>point source capture with carbon capture and s</w:t>
      </w:r>
      <w:r w:rsidR="00DF44A6">
        <w:rPr>
          <w:lang w:val="en-US"/>
        </w:rPr>
        <w:t>t</w:t>
      </w:r>
      <w:r w:rsidR="00BC63BB" w:rsidRPr="00670221">
        <w:rPr>
          <w:lang w:val="en-US"/>
        </w:rPr>
        <w:t>orage</w:t>
      </w:r>
      <w:r w:rsidR="006F272D">
        <w:rPr>
          <w:lang w:val="en-US"/>
        </w:rPr>
        <w:t xml:space="preserve"> (CCS)</w:t>
      </w:r>
      <w:r w:rsidR="00BC63BB" w:rsidRPr="00670221">
        <w:rPr>
          <w:lang w:val="en-US"/>
        </w:rPr>
        <w:t xml:space="preserve"> </w:t>
      </w:r>
      <w:r w:rsidR="000067EC" w:rsidRPr="00670221">
        <w:rPr>
          <w:lang w:val="en-US"/>
        </w:rPr>
        <w:t xml:space="preserve">is the most cost-effective option and could become </w:t>
      </w:r>
      <w:r w:rsidR="003C2720" w:rsidRPr="00670221">
        <w:rPr>
          <w:lang w:val="en-US"/>
        </w:rPr>
        <w:t xml:space="preserve">cost </w:t>
      </w:r>
      <w:r w:rsidR="000067EC" w:rsidRPr="00670221">
        <w:rPr>
          <w:lang w:val="en-US"/>
        </w:rPr>
        <w:t xml:space="preserve">competitive with continued fossil fuel use plus carbon taxation in the future. This expectation aligns with the fact that carbon tax revenues are earmarked for carbon mitigation efforts. Similarly, Höglund et al. (2020) show that </w:t>
      </w:r>
      <w:r w:rsidR="00F63FEF">
        <w:rPr>
          <w:lang w:val="en-US"/>
        </w:rPr>
        <w:t>carbon capture and utilization (</w:t>
      </w:r>
      <w:r w:rsidR="000067EC" w:rsidRPr="00670221">
        <w:rPr>
          <w:lang w:val="en-US"/>
        </w:rPr>
        <w:t>CCU</w:t>
      </w:r>
      <w:r w:rsidR="00F63FEF">
        <w:rPr>
          <w:lang w:val="en-US"/>
        </w:rPr>
        <w:t>)</w:t>
      </w:r>
      <w:r w:rsidR="000067EC" w:rsidRPr="00670221">
        <w:rPr>
          <w:lang w:val="en-US"/>
        </w:rPr>
        <w:t xml:space="preserve"> is more costly due to the hydrogen requirements involved. However, certain factors were overlooked in these analyses: the inadequate reflection of true environmental costs by current carbon prices (Bachmann, 2020), the finite nature of fossil fuels, and the growing competition for bio-based feedstock in </w:t>
      </w:r>
      <w:r w:rsidR="00EB26FB">
        <w:rPr>
          <w:lang w:val="en-US"/>
        </w:rPr>
        <w:t>point source capture</w:t>
      </w:r>
      <w:r w:rsidR="000067EC" w:rsidRPr="00670221">
        <w:rPr>
          <w:lang w:val="en-US"/>
        </w:rPr>
        <w:t xml:space="preserve"> </w:t>
      </w:r>
      <w:r w:rsidR="0073316F">
        <w:rPr>
          <w:lang w:val="en-US"/>
        </w:rPr>
        <w:t xml:space="preserve">(PSC) </w:t>
      </w:r>
      <w:r w:rsidR="000067EC" w:rsidRPr="00670221">
        <w:rPr>
          <w:lang w:val="en-US"/>
        </w:rPr>
        <w:t>CCS as other sectors decarbonize (Peacock et al., 2024).</w:t>
      </w:r>
    </w:p>
    <w:p w14:paraId="4034EEBC" w14:textId="47DE4C91" w:rsidR="00C70A5E" w:rsidRPr="00670221" w:rsidRDefault="00C70A5E" w:rsidP="00C70A5E">
      <w:pPr>
        <w:rPr>
          <w:lang w:val="en-US"/>
        </w:rPr>
      </w:pPr>
      <w:r w:rsidRPr="00670221">
        <w:rPr>
          <w:lang w:val="en-US"/>
        </w:rPr>
        <w:t xml:space="preserve">Martin et al. (2023) compared scenarios for global trucking, shipping, and aviation up to 2050, focusing on Norway due to its carbon-neutral freight transport and abundant renewable electricity. Like </w:t>
      </w:r>
      <w:proofErr w:type="spellStart"/>
      <w:r w:rsidRPr="00670221">
        <w:rPr>
          <w:lang w:val="en-US"/>
        </w:rPr>
        <w:t>Becattini</w:t>
      </w:r>
      <w:proofErr w:type="spellEnd"/>
      <w:r w:rsidRPr="00670221">
        <w:rPr>
          <w:lang w:val="en-US"/>
        </w:rPr>
        <w:t xml:space="preserve"> (2021), they emphasize the need for stable, renewable, and </w:t>
      </w:r>
      <w:r w:rsidRPr="00670221">
        <w:rPr>
          <w:lang w:val="en-US"/>
        </w:rPr>
        <w:lastRenderedPageBreak/>
        <w:t>inexpensive electricity, a recurring theme in the literature. The challenge of comparing fuels mirrors that of comparing models due to varying assumptions. Martin (2023) addresses intermittency with hydrogen storage, though this doesn’t resolve the continuous electricity needs of DAC.</w:t>
      </w:r>
    </w:p>
    <w:p w14:paraId="1DF449F8" w14:textId="0B6888EF" w:rsidR="00C70A5E" w:rsidRPr="00670221" w:rsidRDefault="00C70A5E" w:rsidP="00C70A5E">
      <w:pPr>
        <w:rPr>
          <w:lang w:val="en-US"/>
        </w:rPr>
      </w:pPr>
      <w:r w:rsidRPr="00670221">
        <w:rPr>
          <w:lang w:val="en-US"/>
        </w:rPr>
        <w:t>Intermittency remains a key issue for SAF production, as final synthesis requires continuous operation. Typically, intermediates are stored instead of electricity, as batteries increase costs and reduce energy efficiency (Rojas-</w:t>
      </w:r>
      <w:proofErr w:type="spellStart"/>
      <w:r w:rsidRPr="00670221">
        <w:rPr>
          <w:lang w:val="en-US"/>
        </w:rPr>
        <w:t>Michiga</w:t>
      </w:r>
      <w:proofErr w:type="spellEnd"/>
      <w:r w:rsidRPr="00670221">
        <w:rPr>
          <w:lang w:val="en-US"/>
        </w:rPr>
        <w:t>, 2023). Only Sherwin (2021) includes battery storage in his model, and this, combined with outdated DAC performance and diverse assumptions, contributes to higher fuel prices, as noted by Martin (2023).</w:t>
      </w:r>
    </w:p>
    <w:p w14:paraId="3D5F11D1" w14:textId="3458A5D4" w:rsidR="00C70A5E" w:rsidRPr="00670221" w:rsidRDefault="00C70A5E" w:rsidP="00C70A5E">
      <w:pPr>
        <w:rPr>
          <w:lang w:val="en-US"/>
        </w:rPr>
      </w:pPr>
      <w:proofErr w:type="spellStart"/>
      <w:r w:rsidRPr="00670221">
        <w:rPr>
          <w:lang w:val="en-US"/>
        </w:rPr>
        <w:t>D’Adamo</w:t>
      </w:r>
      <w:proofErr w:type="spellEnd"/>
      <w:r w:rsidRPr="00670221">
        <w:rPr>
          <w:lang w:val="en-US"/>
        </w:rPr>
        <w:t xml:space="preserve"> et al. (2024) provide a more optimistic analysis of e-fuel prices, using Fischer-</w:t>
      </w:r>
      <w:proofErr w:type="spellStart"/>
      <w:r w:rsidRPr="00670221">
        <w:rPr>
          <w:lang w:val="en-US"/>
        </w:rPr>
        <w:t>Tropsch</w:t>
      </w:r>
      <w:proofErr w:type="spellEnd"/>
      <w:r w:rsidRPr="00670221">
        <w:rPr>
          <w:lang w:val="en-US"/>
        </w:rPr>
        <w:t xml:space="preserve"> </w:t>
      </w:r>
      <w:r w:rsidR="0041509E">
        <w:rPr>
          <w:lang w:val="en-US"/>
        </w:rPr>
        <w:t xml:space="preserve">(FT) </w:t>
      </w:r>
      <w:r w:rsidRPr="00670221">
        <w:rPr>
          <w:lang w:val="en-US"/>
        </w:rPr>
        <w:t>and reverse wate</w:t>
      </w:r>
      <w:r w:rsidR="0041509E">
        <w:rPr>
          <w:lang w:val="en-US"/>
        </w:rPr>
        <w:t>r</w:t>
      </w:r>
      <w:r w:rsidR="00855E0D">
        <w:rPr>
          <w:lang w:val="en-US"/>
        </w:rPr>
        <w:t>-</w:t>
      </w:r>
      <w:r w:rsidRPr="00670221">
        <w:rPr>
          <w:lang w:val="en-US"/>
        </w:rPr>
        <w:t>gas shift</w:t>
      </w:r>
      <w:r w:rsidR="0041509E">
        <w:rPr>
          <w:lang w:val="en-US"/>
        </w:rPr>
        <w:t xml:space="preserve"> (RWGS)</w:t>
      </w:r>
      <w:r w:rsidRPr="00670221">
        <w:rPr>
          <w:lang w:val="en-US"/>
        </w:rPr>
        <w:t xml:space="preserve">. However, their model overlooks costs for intermediate storage, component sizing, and DAC inefficiencies when not run continuously. Their model's simplicity and optimistic assumptions for PV, </w:t>
      </w:r>
      <w:proofErr w:type="spellStart"/>
      <w:r w:rsidRPr="00670221">
        <w:rPr>
          <w:lang w:val="en-US"/>
        </w:rPr>
        <w:t>electrolyzer</w:t>
      </w:r>
      <w:proofErr w:type="spellEnd"/>
      <w:r w:rsidRPr="00670221">
        <w:rPr>
          <w:lang w:val="en-US"/>
        </w:rPr>
        <w:t>, DAC, and fuel synthesis costs</w:t>
      </w:r>
      <w:r w:rsidR="00B31636" w:rsidRPr="00670221">
        <w:rPr>
          <w:lang w:val="en-US"/>
        </w:rPr>
        <w:t xml:space="preserve"> and efficiencies</w:t>
      </w:r>
      <w:r w:rsidRPr="00670221">
        <w:rPr>
          <w:lang w:val="en-US"/>
        </w:rPr>
        <w:t xml:space="preserve"> lead to lower e-fuel costs compared to similar studies, reflecting rapid technological progress.</w:t>
      </w:r>
    </w:p>
    <w:p w14:paraId="2640B611" w14:textId="33C388CE" w:rsidR="005E7582" w:rsidRPr="00E254AF" w:rsidRDefault="005E7582" w:rsidP="00E254AF">
      <w:pPr>
        <w:pStyle w:val="Heading4"/>
      </w:pPr>
      <w:r w:rsidRPr="00E254AF">
        <w:t>Alternative</w:t>
      </w:r>
      <w:r w:rsidR="00FB240A" w:rsidRPr="00E254AF">
        <w:t xml:space="preserve"> </w:t>
      </w:r>
      <w:r w:rsidR="00DF3DCC" w:rsidRPr="00E254AF">
        <w:t>P</w:t>
      </w:r>
      <w:r w:rsidR="00FB240A" w:rsidRPr="00E254AF">
        <w:t xml:space="preserve">roduction </w:t>
      </w:r>
      <w:r w:rsidR="00DF3DCC" w:rsidRPr="00E254AF">
        <w:t>M</w:t>
      </w:r>
      <w:r w:rsidR="00FB240A" w:rsidRPr="00E254AF">
        <w:t>ethods</w:t>
      </w:r>
    </w:p>
    <w:p w14:paraId="17D7262B" w14:textId="1AB8E4AB" w:rsidR="00AB06AA" w:rsidRPr="00670221" w:rsidRDefault="00A931B2" w:rsidP="00A16717">
      <w:pPr>
        <w:rPr>
          <w:lang w:val="en-US"/>
        </w:rPr>
      </w:pPr>
      <w:proofErr w:type="spellStart"/>
      <w:r w:rsidRPr="00670221">
        <w:rPr>
          <w:lang w:val="en-US"/>
        </w:rPr>
        <w:t>Becattini</w:t>
      </w:r>
      <w:proofErr w:type="spellEnd"/>
      <w:r w:rsidRPr="00670221">
        <w:rPr>
          <w:lang w:val="en-US"/>
        </w:rPr>
        <w:t xml:space="preserve"> (2021) explores an alternative to the RWGS reaction by converting CO₂ to CO, but the process remains heavily reliant on electricity. In contrast, Prats-</w:t>
      </w:r>
      <w:proofErr w:type="spellStart"/>
      <w:r w:rsidRPr="00670221">
        <w:rPr>
          <w:lang w:val="en-US"/>
        </w:rPr>
        <w:t>Salvado</w:t>
      </w:r>
      <w:proofErr w:type="spellEnd"/>
      <w:r w:rsidRPr="00670221">
        <w:rPr>
          <w:lang w:val="en-US"/>
        </w:rPr>
        <w:t xml:space="preserve"> et al. (2022) and Moretti (2023) investigate a solar thermochemical approach, </w:t>
      </w:r>
      <w:proofErr w:type="gramStart"/>
      <w:r w:rsidRPr="00670221">
        <w:rPr>
          <w:lang w:val="en-US"/>
        </w:rPr>
        <w:t>where</w:t>
      </w:r>
      <w:proofErr w:type="gramEnd"/>
      <w:r w:rsidRPr="00670221">
        <w:rPr>
          <w:lang w:val="en-US"/>
        </w:rPr>
        <w:t xml:space="preserve"> concentrated solar energy drives reaction</w:t>
      </w:r>
      <w:r w:rsidR="000747A0" w:rsidRPr="00670221">
        <w:rPr>
          <w:lang w:val="en-US"/>
        </w:rPr>
        <w:t xml:space="preserve">s, eliminating the need for an </w:t>
      </w:r>
      <w:proofErr w:type="spellStart"/>
      <w:r w:rsidR="000747A0" w:rsidRPr="00670221">
        <w:rPr>
          <w:lang w:val="en-US"/>
        </w:rPr>
        <w:t>electrolyzer</w:t>
      </w:r>
      <w:proofErr w:type="spellEnd"/>
      <w:r w:rsidR="000747A0" w:rsidRPr="00670221">
        <w:rPr>
          <w:lang w:val="en-US"/>
        </w:rPr>
        <w:t xml:space="preserve">. </w:t>
      </w:r>
      <w:r w:rsidRPr="00670221">
        <w:rPr>
          <w:lang w:val="en-US"/>
        </w:rPr>
        <w:t xml:space="preserve">Components requiring electricity, such as DAC, are </w:t>
      </w:r>
      <w:r w:rsidR="003904FD" w:rsidRPr="00670221">
        <w:rPr>
          <w:lang w:val="en-US"/>
        </w:rPr>
        <w:t xml:space="preserve">either </w:t>
      </w:r>
      <w:r w:rsidRPr="00670221">
        <w:rPr>
          <w:lang w:val="en-US"/>
        </w:rPr>
        <w:t>powered by a power block driven by steam turbines that recover heat</w:t>
      </w:r>
      <w:r w:rsidR="00F63310" w:rsidRPr="00670221">
        <w:rPr>
          <w:lang w:val="en-US"/>
        </w:rPr>
        <w:t>,</w:t>
      </w:r>
      <w:r w:rsidR="003904FD" w:rsidRPr="00670221">
        <w:rPr>
          <w:lang w:val="en-US"/>
        </w:rPr>
        <w:t xml:space="preserve"> or </w:t>
      </w:r>
      <w:r w:rsidR="00844D37" w:rsidRPr="00670221">
        <w:rPr>
          <w:lang w:val="en-US"/>
        </w:rPr>
        <w:t>by the grid</w:t>
      </w:r>
      <w:r w:rsidRPr="00670221">
        <w:rPr>
          <w:lang w:val="en-US"/>
        </w:rPr>
        <w:t>. Moretti, citing Prats-</w:t>
      </w:r>
      <w:proofErr w:type="spellStart"/>
      <w:r w:rsidRPr="00670221">
        <w:rPr>
          <w:lang w:val="en-US"/>
        </w:rPr>
        <w:t>Salvado</w:t>
      </w:r>
      <w:proofErr w:type="spellEnd"/>
      <w:r w:rsidRPr="00670221">
        <w:rPr>
          <w:lang w:val="en-US"/>
        </w:rPr>
        <w:t xml:space="preserve"> (2022), explores various configurations and concludes that low-temperature DAC, integrated with waste heat recovery, is the most cost-efficient approach for these systems. This finding aligns with Sherwin (2021) and Rojas-</w:t>
      </w:r>
      <w:proofErr w:type="spellStart"/>
      <w:r w:rsidRPr="00670221">
        <w:rPr>
          <w:lang w:val="en-US"/>
        </w:rPr>
        <w:t>Michiga</w:t>
      </w:r>
      <w:proofErr w:type="spellEnd"/>
      <w:r w:rsidRPr="00670221">
        <w:rPr>
          <w:lang w:val="en-US"/>
        </w:rPr>
        <w:t xml:space="preserve"> (2023), who also modeled low-temperature DAC as a cost-effective addition due to its compatibility with heat integration in various configurations.</w:t>
      </w:r>
    </w:p>
    <w:p w14:paraId="481490F7" w14:textId="77777777" w:rsidR="00FB240A" w:rsidRPr="00670221" w:rsidRDefault="00A16717" w:rsidP="000002D2">
      <w:pPr>
        <w:rPr>
          <w:lang w:val="en-US"/>
        </w:rPr>
      </w:pPr>
      <w:r w:rsidRPr="00670221">
        <w:rPr>
          <w:lang w:val="en-US"/>
        </w:rPr>
        <w:t>Furthermore, the challenge of cross-comparing articles is exacerbated by the variation in input parameters and assumptions across different models. These differences in approach underscore the complexity of comparing findings across studies and emphasize the importance of understanding the specific assumptions and methodologies employed in each model.</w:t>
      </w:r>
    </w:p>
    <w:p w14:paraId="0B2CB084" w14:textId="77777777" w:rsidR="00FB240A" w:rsidRPr="00E254AF" w:rsidRDefault="00FB240A" w:rsidP="00E254AF">
      <w:pPr>
        <w:pStyle w:val="Heading4"/>
      </w:pPr>
      <w:r w:rsidRPr="00E254AF">
        <w:t>Life Cycle Analysis</w:t>
      </w:r>
    </w:p>
    <w:p w14:paraId="3C2445E1" w14:textId="53628BD7" w:rsidR="000002D2" w:rsidRPr="00670221" w:rsidRDefault="000002D2" w:rsidP="000002D2">
      <w:pPr>
        <w:rPr>
          <w:lang w:val="en-US"/>
        </w:rPr>
      </w:pPr>
      <w:r w:rsidRPr="00670221">
        <w:rPr>
          <w:lang w:val="en-US"/>
        </w:rPr>
        <w:t xml:space="preserve">While it's logical to assume DAC should use renewable electricity to minimize emissions, </w:t>
      </w:r>
      <w:r w:rsidR="00957F1B">
        <w:rPr>
          <w:lang w:val="en-US"/>
        </w:rPr>
        <w:t>l</w:t>
      </w:r>
      <w:r w:rsidRPr="00670221">
        <w:rPr>
          <w:lang w:val="en-US"/>
        </w:rPr>
        <w:t xml:space="preserve">ife </w:t>
      </w:r>
      <w:r w:rsidR="00957F1B">
        <w:rPr>
          <w:lang w:val="en-US"/>
        </w:rPr>
        <w:t>c</w:t>
      </w:r>
      <w:r w:rsidRPr="00670221">
        <w:rPr>
          <w:lang w:val="en-US"/>
        </w:rPr>
        <w:t xml:space="preserve">ycle </w:t>
      </w:r>
      <w:r w:rsidR="00957F1B">
        <w:rPr>
          <w:lang w:val="en-US"/>
        </w:rPr>
        <w:t>a</w:t>
      </w:r>
      <w:r w:rsidRPr="00670221">
        <w:rPr>
          <w:lang w:val="en-US"/>
        </w:rPr>
        <w:t>ssessments (LCA) of e-fuels produced with DAC reveal deeper insights. The electricity grid's emission factor emerges as the primary source of uncertainty, particularly in electricity-intensive methods like DAC-based approaches, which exhibit the widest uncertainty range (</w:t>
      </w:r>
      <w:proofErr w:type="spellStart"/>
      <w:r w:rsidRPr="00670221">
        <w:rPr>
          <w:lang w:val="en-US"/>
        </w:rPr>
        <w:t>Ballal</w:t>
      </w:r>
      <w:proofErr w:type="spellEnd"/>
      <w:r w:rsidRPr="00670221">
        <w:rPr>
          <w:lang w:val="en-US"/>
        </w:rPr>
        <w:t xml:space="preserve"> et al., 2023). LCAs offer a comprehensive view of DAC's environmental impact, facilitating comparisons with other carbon capture methods.</w:t>
      </w:r>
    </w:p>
    <w:p w14:paraId="7518E255" w14:textId="77777777" w:rsidR="00290991" w:rsidRPr="00670221" w:rsidRDefault="000002D2" w:rsidP="0033137B">
      <w:pPr>
        <w:rPr>
          <w:lang w:val="en-US"/>
        </w:rPr>
      </w:pPr>
      <w:r w:rsidRPr="00670221">
        <w:rPr>
          <w:lang w:val="en-US"/>
        </w:rPr>
        <w:t>Liu et al. (2020) were the first to conduct an LCA on a DAC system paired with Fischer-</w:t>
      </w:r>
      <w:proofErr w:type="spellStart"/>
      <w:r w:rsidRPr="00670221">
        <w:rPr>
          <w:lang w:val="en-US"/>
        </w:rPr>
        <w:t>Tropsch</w:t>
      </w:r>
      <w:proofErr w:type="spellEnd"/>
      <w:r w:rsidRPr="00670221">
        <w:rPr>
          <w:lang w:val="en-US"/>
        </w:rPr>
        <w:t xml:space="preserve"> synthesis, using direct data from a pilot plant. Their baseline scenario, powered by a low-carbon grid and including either an electric or gas-powered </w:t>
      </w:r>
      <w:proofErr w:type="spellStart"/>
      <w:r w:rsidRPr="00670221">
        <w:rPr>
          <w:lang w:val="en-US"/>
        </w:rPr>
        <w:t>calcinator</w:t>
      </w:r>
      <w:proofErr w:type="spellEnd"/>
      <w:r w:rsidRPr="00670221">
        <w:rPr>
          <w:lang w:val="en-US"/>
        </w:rPr>
        <w:t>, showed that the electric variant significantly increased electricity consumption. The study achieved an 84% reduction in CO₂ emissions—from 75 to 12 grams per MJ fuel—highlighting the influence of electricity carbon intensity and electrolysis energy.</w:t>
      </w:r>
      <w:r w:rsidR="0033137B" w:rsidRPr="00670221">
        <w:rPr>
          <w:lang w:val="en-US"/>
        </w:rPr>
        <w:t xml:space="preserve"> </w:t>
      </w:r>
    </w:p>
    <w:p w14:paraId="531048E2" w14:textId="2068F201" w:rsidR="0033137B" w:rsidRPr="00670221" w:rsidRDefault="0033137B" w:rsidP="0033137B">
      <w:pPr>
        <w:rPr>
          <w:lang w:val="en-US"/>
        </w:rPr>
      </w:pPr>
      <w:r w:rsidRPr="00670221">
        <w:rPr>
          <w:lang w:val="en-US"/>
        </w:rPr>
        <w:lastRenderedPageBreak/>
        <w:t>Rojas-</w:t>
      </w:r>
      <w:proofErr w:type="spellStart"/>
      <w:r w:rsidRPr="00670221">
        <w:rPr>
          <w:lang w:val="en-US"/>
        </w:rPr>
        <w:t>Michaga’s</w:t>
      </w:r>
      <w:proofErr w:type="spellEnd"/>
      <w:r w:rsidRPr="00670221">
        <w:rPr>
          <w:lang w:val="en-US"/>
        </w:rPr>
        <w:t xml:space="preserve"> (2023) LCA, reliant on offshore wind electricity, showed a 76% reduction in emissions (21.43 </w:t>
      </w:r>
      <w:proofErr w:type="spellStart"/>
      <w:r w:rsidRPr="00670221">
        <w:rPr>
          <w:lang w:val="en-US"/>
        </w:rPr>
        <w:t>gCO</w:t>
      </w:r>
      <w:proofErr w:type="spellEnd"/>
      <w:r w:rsidRPr="00670221">
        <w:rPr>
          <w:lang w:val="en-US"/>
        </w:rPr>
        <w:t xml:space="preserve">₂/MJ SAF) compared to the baseline of 89 </w:t>
      </w:r>
      <w:proofErr w:type="spellStart"/>
      <w:r w:rsidRPr="00670221">
        <w:rPr>
          <w:lang w:val="en-US"/>
        </w:rPr>
        <w:t>gCO</w:t>
      </w:r>
      <w:proofErr w:type="spellEnd"/>
      <w:r w:rsidRPr="00670221">
        <w:rPr>
          <w:lang w:val="en-US"/>
        </w:rPr>
        <w:t xml:space="preserve">₂/MJ SAF. Similar reductions of 75% and 89% were reported by Micheli et al. (2022) and </w:t>
      </w:r>
      <w:proofErr w:type="spellStart"/>
      <w:r w:rsidRPr="00670221">
        <w:rPr>
          <w:lang w:val="en-US"/>
        </w:rPr>
        <w:t>Ballal</w:t>
      </w:r>
      <w:proofErr w:type="spellEnd"/>
      <w:r w:rsidRPr="00670221">
        <w:rPr>
          <w:lang w:val="en-US"/>
        </w:rPr>
        <w:t xml:space="preserve"> (2023), emphasizing the importance of low-carbon inputs. Notably, low-temperature DAC stands out as both the most cost-effective and cleanest option (Micheli, 2022).</w:t>
      </w:r>
    </w:p>
    <w:p w14:paraId="437D687A" w14:textId="2AB6729F" w:rsidR="0081195B" w:rsidRPr="00670221" w:rsidRDefault="008B548D" w:rsidP="00A16717">
      <w:pPr>
        <w:rPr>
          <w:lang w:val="en-US"/>
        </w:rPr>
      </w:pPr>
      <w:r w:rsidRPr="00670221">
        <w:rPr>
          <w:lang w:val="en-US"/>
        </w:rPr>
        <w:t xml:space="preserve">In contrast, </w:t>
      </w:r>
      <w:proofErr w:type="spellStart"/>
      <w:r w:rsidRPr="00670221">
        <w:rPr>
          <w:lang w:val="en-US"/>
        </w:rPr>
        <w:t>Ballal</w:t>
      </w:r>
      <w:proofErr w:type="spellEnd"/>
      <w:r w:rsidRPr="00670221">
        <w:rPr>
          <w:lang w:val="en-US"/>
        </w:rPr>
        <w:t xml:space="preserve"> (2023), who also explored different electrolysis methods including </w:t>
      </w:r>
      <w:r w:rsidR="00DA1EE2">
        <w:rPr>
          <w:lang w:val="en-US"/>
        </w:rPr>
        <w:t>s</w:t>
      </w:r>
      <w:r w:rsidRPr="00670221">
        <w:rPr>
          <w:lang w:val="en-US"/>
        </w:rPr>
        <w:t xml:space="preserve">olid </w:t>
      </w:r>
      <w:r w:rsidR="00DA1EE2">
        <w:rPr>
          <w:lang w:val="en-US"/>
        </w:rPr>
        <w:t>o</w:t>
      </w:r>
      <w:r w:rsidRPr="00670221">
        <w:rPr>
          <w:lang w:val="en-US"/>
        </w:rPr>
        <w:t xml:space="preserve">xide </w:t>
      </w:r>
      <w:r w:rsidR="00DA1EE2">
        <w:rPr>
          <w:lang w:val="en-US"/>
        </w:rPr>
        <w:t>e</w:t>
      </w:r>
      <w:r w:rsidRPr="00670221">
        <w:rPr>
          <w:lang w:val="en-US"/>
        </w:rPr>
        <w:t xml:space="preserve">lectrolysis (SOE), found that DAC energy usage had a greater effect on overall emissions. SOE, due to its higher efficiency from operating at elevated temperatures, </w:t>
      </w:r>
      <w:r w:rsidR="00F41B20" w:rsidRPr="00670221">
        <w:rPr>
          <w:lang w:val="en-US"/>
        </w:rPr>
        <w:t>was</w:t>
      </w:r>
      <w:r w:rsidRPr="00670221">
        <w:rPr>
          <w:lang w:val="en-US"/>
        </w:rPr>
        <w:t xml:space="preserve"> particularly interesting </w:t>
      </w:r>
      <w:r w:rsidR="0081195B" w:rsidRPr="00670221">
        <w:rPr>
          <w:lang w:val="en-US"/>
        </w:rPr>
        <w:t>with respect to</w:t>
      </w:r>
      <w:r w:rsidRPr="00670221">
        <w:rPr>
          <w:lang w:val="en-US"/>
        </w:rPr>
        <w:t xml:space="preserve"> heat integration. </w:t>
      </w:r>
    </w:p>
    <w:p w14:paraId="24AD7A37" w14:textId="77777777" w:rsidR="008B548D" w:rsidRPr="00670221" w:rsidRDefault="008B548D" w:rsidP="00A16717">
      <w:pPr>
        <w:rPr>
          <w:lang w:val="en-US"/>
        </w:rPr>
      </w:pPr>
    </w:p>
    <w:p w14:paraId="0A6960AF" w14:textId="60B74497" w:rsidR="00920ADA" w:rsidRPr="00670221" w:rsidRDefault="00920ADA" w:rsidP="00920ADA">
      <w:pPr>
        <w:pStyle w:val="Heading2"/>
      </w:pPr>
      <w:bookmarkStart w:id="23" w:name="_Toc184403414"/>
      <w:r w:rsidRPr="00670221">
        <w:t>Knowledge Gap</w:t>
      </w:r>
      <w:bookmarkEnd w:id="23"/>
    </w:p>
    <w:p w14:paraId="4266577A" w14:textId="32C1CF9A" w:rsidR="003D7CF8" w:rsidRPr="00670221" w:rsidRDefault="003D7CF8" w:rsidP="003B7FC2">
      <w:pPr>
        <w:rPr>
          <w:lang w:val="en-US"/>
        </w:rPr>
      </w:pPr>
      <w:r w:rsidRPr="00670221">
        <w:rPr>
          <w:lang w:val="en-US"/>
        </w:rPr>
        <w:t xml:space="preserve">The existing literature offers extensive techno-economic analyses and life cycle assessments on sustainable aviation fuels, including </w:t>
      </w:r>
      <w:r w:rsidR="009C20E9" w:rsidRPr="00670221">
        <w:rPr>
          <w:lang w:val="en-US"/>
        </w:rPr>
        <w:t>technologies</w:t>
      </w:r>
      <w:r w:rsidRPr="00670221">
        <w:rPr>
          <w:lang w:val="en-US"/>
        </w:rPr>
        <w:t xml:space="preserve"> such as </w:t>
      </w:r>
      <w:r w:rsidR="002737A6" w:rsidRPr="00670221">
        <w:rPr>
          <w:lang w:val="en-US"/>
        </w:rPr>
        <w:t>d</w:t>
      </w:r>
      <w:r w:rsidRPr="00670221">
        <w:rPr>
          <w:lang w:val="en-US"/>
        </w:rPr>
        <w:t xml:space="preserve">irect </w:t>
      </w:r>
      <w:r w:rsidR="002737A6" w:rsidRPr="00670221">
        <w:rPr>
          <w:lang w:val="en-US"/>
        </w:rPr>
        <w:t>a</w:t>
      </w:r>
      <w:r w:rsidRPr="00670221">
        <w:rPr>
          <w:lang w:val="en-US"/>
        </w:rPr>
        <w:t xml:space="preserve">ir </w:t>
      </w:r>
      <w:r w:rsidR="002737A6" w:rsidRPr="00670221">
        <w:rPr>
          <w:lang w:val="en-US"/>
        </w:rPr>
        <w:t>c</w:t>
      </w:r>
      <w:r w:rsidRPr="00670221">
        <w:rPr>
          <w:lang w:val="en-US"/>
        </w:rPr>
        <w:t xml:space="preserve">apture and </w:t>
      </w:r>
      <w:r w:rsidR="0082197B">
        <w:rPr>
          <w:lang w:val="en-US"/>
        </w:rPr>
        <w:t>p</w:t>
      </w:r>
      <w:r w:rsidRPr="00670221">
        <w:rPr>
          <w:lang w:val="en-US"/>
        </w:rPr>
        <w:t>ower-to-</w:t>
      </w:r>
      <w:r w:rsidR="002737A6" w:rsidRPr="00670221">
        <w:rPr>
          <w:lang w:val="en-US"/>
        </w:rPr>
        <w:t>l</w:t>
      </w:r>
      <w:r w:rsidRPr="00670221">
        <w:rPr>
          <w:lang w:val="en-US"/>
        </w:rPr>
        <w:t xml:space="preserve">iquid technologies. Studies like those by </w:t>
      </w:r>
      <w:proofErr w:type="spellStart"/>
      <w:r w:rsidRPr="00670221">
        <w:rPr>
          <w:lang w:val="en-US"/>
        </w:rPr>
        <w:t>Becattini</w:t>
      </w:r>
      <w:proofErr w:type="spellEnd"/>
      <w:r w:rsidRPr="00670221">
        <w:rPr>
          <w:lang w:val="en-US"/>
        </w:rPr>
        <w:t xml:space="preserve"> et al. (2021), Sherwin (2021), and Martin et al. (2023) provide strong insights into the economic and environmental implications of these </w:t>
      </w:r>
      <w:r w:rsidR="009C20E9" w:rsidRPr="00670221">
        <w:rPr>
          <w:lang w:val="en-US"/>
        </w:rPr>
        <w:t>technologies</w:t>
      </w:r>
      <w:r w:rsidRPr="00670221">
        <w:rPr>
          <w:lang w:val="en-US"/>
        </w:rPr>
        <w:t xml:space="preserve">. While this work is robust in its focus on cost and performance metrics, there is room for expansion by incorporating a socio-technical lens to better understand </w:t>
      </w:r>
      <w:r w:rsidR="005C6A9A">
        <w:rPr>
          <w:lang w:val="en-US"/>
        </w:rPr>
        <w:t xml:space="preserve">how </w:t>
      </w:r>
      <w:r w:rsidRPr="00670221">
        <w:rPr>
          <w:lang w:val="en-US"/>
        </w:rPr>
        <w:t xml:space="preserve">these technologies could be deployed </w:t>
      </w:r>
      <w:proofErr w:type="gramStart"/>
      <w:r w:rsidRPr="00670221">
        <w:rPr>
          <w:lang w:val="en-US"/>
        </w:rPr>
        <w:t>in the near future</w:t>
      </w:r>
      <w:proofErr w:type="gramEnd"/>
      <w:r w:rsidRPr="00670221">
        <w:rPr>
          <w:lang w:val="en-US"/>
        </w:rPr>
        <w:t>.</w:t>
      </w:r>
    </w:p>
    <w:p w14:paraId="047038C1" w14:textId="2CC38FAA" w:rsidR="003D7CF8" w:rsidRPr="00670221" w:rsidRDefault="00F87DEB" w:rsidP="00956D30">
      <w:pPr>
        <w:rPr>
          <w:lang w:val="en-US"/>
        </w:rPr>
      </w:pPr>
      <w:r w:rsidRPr="00F87DEB">
        <w:rPr>
          <w:lang w:val="en-US"/>
        </w:rPr>
        <w:t>Further exploration of DAC’s role could benefit from re-evaluating its potential not only as a carbon removal method but also as a valuable feedstock source, particularly when combined with emerging technologies like solid oxide electrolysis.</w:t>
      </w:r>
      <w:r>
        <w:rPr>
          <w:lang w:val="en-US"/>
        </w:rPr>
        <w:t xml:space="preserve"> </w:t>
      </w:r>
      <w:r w:rsidR="003D7CF8" w:rsidRPr="00670221">
        <w:rPr>
          <w:lang w:val="en-US"/>
        </w:rPr>
        <w:t xml:space="preserve">Some models, such as those by </w:t>
      </w:r>
      <w:proofErr w:type="spellStart"/>
      <w:r w:rsidR="003D7CF8" w:rsidRPr="00670221">
        <w:rPr>
          <w:lang w:val="en-US"/>
        </w:rPr>
        <w:t>D'Adamo</w:t>
      </w:r>
      <w:proofErr w:type="spellEnd"/>
      <w:r w:rsidR="003D7CF8" w:rsidRPr="00670221">
        <w:rPr>
          <w:lang w:val="en-US"/>
        </w:rPr>
        <w:t xml:space="preserve"> et al. (2024) and Rojas-</w:t>
      </w:r>
      <w:proofErr w:type="spellStart"/>
      <w:r w:rsidR="003D7CF8" w:rsidRPr="00670221">
        <w:rPr>
          <w:lang w:val="en-US"/>
        </w:rPr>
        <w:t>Michaga</w:t>
      </w:r>
      <w:proofErr w:type="spellEnd"/>
      <w:r w:rsidR="003D7CF8" w:rsidRPr="00670221">
        <w:rPr>
          <w:lang w:val="en-US"/>
        </w:rPr>
        <w:t xml:space="preserve"> (2023), tend to view CO₂ primarily as a waste product, which may underestimate its full potential when utilized in fuel synthesis. Shifting this perspective to see DAC as a source of negative emissions could open new possibilities for more competitive and viable synthesis pathways when compared to traditional carbon capture or bio-based options.</w:t>
      </w:r>
    </w:p>
    <w:p w14:paraId="23C90B72" w14:textId="4C407D9B" w:rsidR="00A07D48" w:rsidRPr="00670221" w:rsidRDefault="003D7CF8" w:rsidP="00956D30">
      <w:pPr>
        <w:rPr>
          <w:lang w:val="en-US"/>
        </w:rPr>
      </w:pPr>
      <w:r w:rsidRPr="00670221">
        <w:rPr>
          <w:lang w:val="en-US"/>
        </w:rPr>
        <w:t>In summary, while current research provides substantial contributions to the field, broadening the focus to include socio-technical factors and a redefined view of CO₂ as a feedstock could enhance the analysis. Doing so could reveal new, viable pathways for SAF production, contributing to a more comprehensive approach to decarbonization.</w:t>
      </w:r>
    </w:p>
    <w:p w14:paraId="6EB74E9F" w14:textId="77777777" w:rsidR="003D7CF8" w:rsidRPr="00670221" w:rsidRDefault="003D7CF8" w:rsidP="00956D30">
      <w:pPr>
        <w:rPr>
          <w:lang w:val="en-US"/>
        </w:rPr>
      </w:pPr>
    </w:p>
    <w:p w14:paraId="65E29D06" w14:textId="53D9470A" w:rsidR="00EE620B" w:rsidRPr="00670221" w:rsidRDefault="00920ADA" w:rsidP="00EE620B">
      <w:pPr>
        <w:pStyle w:val="Heading2"/>
      </w:pPr>
      <w:bookmarkStart w:id="24" w:name="_Toc184403415"/>
      <w:r w:rsidRPr="00670221">
        <w:t>Research Questions</w:t>
      </w:r>
      <w:bookmarkEnd w:id="24"/>
    </w:p>
    <w:p w14:paraId="61BA868B" w14:textId="4BB71F38" w:rsidR="008E5F4E" w:rsidRPr="00670221" w:rsidRDefault="00FF1C4A" w:rsidP="0047478B">
      <w:pPr>
        <w:rPr>
          <w:rFonts w:cstheme="minorHAnsi"/>
          <w:color w:val="000000"/>
          <w:lang w:val="en-US"/>
        </w:rPr>
      </w:pPr>
      <w:r w:rsidRPr="00670221">
        <w:rPr>
          <w:rFonts w:cstheme="minorHAnsi"/>
          <w:color w:val="000000"/>
          <w:lang w:val="en-US"/>
        </w:rPr>
        <w:t xml:space="preserve">The body of literature on techno-economic analyses consistently emphasizes that high costs are the predominant issue, creating a "chicken and egg" problem: the technologies are too expensive to adopt widely, and without broader adoption, costs cannot decrease. Addressing this issue requires a better understanding of the broader socio-technical system that will influence the successful deployment of SAF technologies. </w:t>
      </w:r>
      <w:r w:rsidR="0047478B" w:rsidRPr="00670221">
        <w:rPr>
          <w:rFonts w:cstheme="minorHAnsi"/>
          <w:color w:val="000000"/>
          <w:lang w:val="en-US"/>
        </w:rPr>
        <w:t xml:space="preserve">Therefore, the research question </w:t>
      </w:r>
      <w:r w:rsidR="00240DFD" w:rsidRPr="00670221">
        <w:rPr>
          <w:rFonts w:cstheme="minorHAnsi"/>
          <w:color w:val="000000"/>
          <w:lang w:val="en-US"/>
        </w:rPr>
        <w:t xml:space="preserve">(RQ) </w:t>
      </w:r>
      <w:r w:rsidR="0047478B" w:rsidRPr="00670221">
        <w:rPr>
          <w:rFonts w:cstheme="minorHAnsi"/>
          <w:color w:val="000000"/>
          <w:lang w:val="en-US"/>
        </w:rPr>
        <w:t xml:space="preserve">guiding this study is: </w:t>
      </w:r>
    </w:p>
    <w:p w14:paraId="7E8527FA" w14:textId="0377B6A5" w:rsidR="00525D33" w:rsidRPr="00670221" w:rsidRDefault="001611DA" w:rsidP="00525D33">
      <w:pPr>
        <w:rPr>
          <w:rFonts w:cstheme="minorHAnsi"/>
          <w:b/>
          <w:bCs/>
          <w:i/>
          <w:iCs/>
          <w:color w:val="000000"/>
          <w:lang w:val="en-US"/>
        </w:rPr>
      </w:pPr>
      <w:r w:rsidRPr="00670221">
        <w:rPr>
          <w:rFonts w:cstheme="minorHAnsi"/>
          <w:b/>
          <w:bCs/>
          <w:i/>
          <w:iCs/>
          <w:color w:val="000000"/>
          <w:lang w:val="en-US"/>
        </w:rPr>
        <w:t xml:space="preserve">How </w:t>
      </w:r>
      <w:r w:rsidR="00987997">
        <w:rPr>
          <w:rFonts w:cstheme="minorHAnsi"/>
          <w:b/>
          <w:bCs/>
          <w:i/>
          <w:iCs/>
          <w:color w:val="000000"/>
          <w:lang w:val="en-US"/>
        </w:rPr>
        <w:t>can</w:t>
      </w:r>
      <w:r w:rsidR="005F4A77" w:rsidRPr="00670221">
        <w:rPr>
          <w:rFonts w:cstheme="minorHAnsi"/>
          <w:b/>
          <w:bCs/>
          <w:i/>
          <w:iCs/>
          <w:color w:val="000000"/>
          <w:lang w:val="en-US"/>
        </w:rPr>
        <w:t xml:space="preserve"> </w:t>
      </w:r>
      <w:r w:rsidR="00F8036C" w:rsidRPr="00670221">
        <w:rPr>
          <w:rFonts w:cstheme="minorHAnsi"/>
          <w:b/>
          <w:bCs/>
          <w:i/>
          <w:iCs/>
          <w:color w:val="000000"/>
          <w:lang w:val="en-US"/>
        </w:rPr>
        <w:t>sustainable</w:t>
      </w:r>
      <w:r w:rsidR="005F4A77" w:rsidRPr="00670221">
        <w:rPr>
          <w:rFonts w:cstheme="minorHAnsi"/>
          <w:b/>
          <w:bCs/>
          <w:i/>
          <w:iCs/>
          <w:color w:val="000000"/>
          <w:lang w:val="en-US"/>
        </w:rPr>
        <w:t xml:space="preserve"> aviation fuel (</w:t>
      </w:r>
      <w:r w:rsidR="00F8036C" w:rsidRPr="00670221">
        <w:rPr>
          <w:rFonts w:cstheme="minorHAnsi"/>
          <w:b/>
          <w:bCs/>
          <w:i/>
          <w:iCs/>
          <w:color w:val="000000"/>
          <w:lang w:val="en-US"/>
        </w:rPr>
        <w:t>SA</w:t>
      </w:r>
      <w:r w:rsidR="005F4A77" w:rsidRPr="00670221">
        <w:rPr>
          <w:rFonts w:cstheme="minorHAnsi"/>
          <w:b/>
          <w:bCs/>
          <w:i/>
          <w:iCs/>
          <w:color w:val="000000"/>
          <w:lang w:val="en-US"/>
        </w:rPr>
        <w:t xml:space="preserve">F) be developed within the EU, specifically considering </w:t>
      </w:r>
      <w:r w:rsidR="001E7D15" w:rsidRPr="00670221">
        <w:rPr>
          <w:rFonts w:cstheme="minorHAnsi"/>
          <w:b/>
          <w:bCs/>
          <w:i/>
          <w:iCs/>
          <w:color w:val="000000"/>
          <w:lang w:val="en-US"/>
        </w:rPr>
        <w:t>technologies</w:t>
      </w:r>
      <w:r w:rsidR="005F4A77" w:rsidRPr="00670221">
        <w:rPr>
          <w:rFonts w:cstheme="minorHAnsi"/>
          <w:b/>
          <w:bCs/>
          <w:i/>
          <w:iCs/>
          <w:color w:val="000000"/>
          <w:lang w:val="en-US"/>
        </w:rPr>
        <w:t xml:space="preserve"> that incorporate</w:t>
      </w:r>
      <w:r w:rsidR="00F8036C" w:rsidRPr="00670221">
        <w:rPr>
          <w:rFonts w:cstheme="minorHAnsi"/>
          <w:b/>
          <w:bCs/>
          <w:i/>
          <w:iCs/>
          <w:color w:val="000000"/>
          <w:lang w:val="en-US"/>
        </w:rPr>
        <w:t xml:space="preserve"> d</w:t>
      </w:r>
      <w:r w:rsidR="005F4A77" w:rsidRPr="00670221">
        <w:rPr>
          <w:rFonts w:cstheme="minorHAnsi"/>
          <w:b/>
          <w:bCs/>
          <w:i/>
          <w:iCs/>
          <w:color w:val="000000"/>
          <w:lang w:val="en-US"/>
        </w:rPr>
        <w:t xml:space="preserve">irect </w:t>
      </w:r>
      <w:r w:rsidR="00F8036C" w:rsidRPr="00670221">
        <w:rPr>
          <w:rFonts w:cstheme="minorHAnsi"/>
          <w:b/>
          <w:bCs/>
          <w:i/>
          <w:iCs/>
          <w:color w:val="000000"/>
          <w:lang w:val="en-US"/>
        </w:rPr>
        <w:t>a</w:t>
      </w:r>
      <w:r w:rsidR="005F4A77" w:rsidRPr="00670221">
        <w:rPr>
          <w:rFonts w:cstheme="minorHAnsi"/>
          <w:b/>
          <w:bCs/>
          <w:i/>
          <w:iCs/>
          <w:color w:val="000000"/>
          <w:lang w:val="en-US"/>
        </w:rPr>
        <w:t xml:space="preserve">ir </w:t>
      </w:r>
      <w:r w:rsidR="00F8036C" w:rsidRPr="00670221">
        <w:rPr>
          <w:rFonts w:cstheme="minorHAnsi"/>
          <w:b/>
          <w:bCs/>
          <w:i/>
          <w:iCs/>
          <w:color w:val="000000"/>
          <w:lang w:val="en-US"/>
        </w:rPr>
        <w:t>c</w:t>
      </w:r>
      <w:r w:rsidR="005F4A77" w:rsidRPr="00670221">
        <w:rPr>
          <w:rFonts w:cstheme="minorHAnsi"/>
          <w:b/>
          <w:bCs/>
          <w:i/>
          <w:iCs/>
          <w:color w:val="000000"/>
          <w:lang w:val="en-US"/>
        </w:rPr>
        <w:t>apture</w:t>
      </w:r>
      <w:r w:rsidR="00F8036C" w:rsidRPr="00670221">
        <w:rPr>
          <w:rFonts w:cstheme="minorHAnsi"/>
          <w:b/>
          <w:bCs/>
          <w:i/>
          <w:iCs/>
          <w:color w:val="000000"/>
          <w:lang w:val="en-US"/>
        </w:rPr>
        <w:t xml:space="preserve"> (DAC)</w:t>
      </w:r>
      <w:r w:rsidR="008E5F4E" w:rsidRPr="00670221">
        <w:rPr>
          <w:rFonts w:cstheme="minorHAnsi"/>
          <w:b/>
          <w:bCs/>
          <w:i/>
          <w:iCs/>
          <w:color w:val="000000"/>
          <w:lang w:val="en-US"/>
        </w:rPr>
        <w:t>?</w:t>
      </w:r>
    </w:p>
    <w:p w14:paraId="74EA52B2" w14:textId="77777777" w:rsidR="00926ADD" w:rsidRPr="00670221" w:rsidRDefault="00926ADD" w:rsidP="00525D33">
      <w:pPr>
        <w:rPr>
          <w:rFonts w:cstheme="minorHAnsi"/>
          <w:b/>
          <w:bCs/>
          <w:i/>
          <w:iCs/>
          <w:color w:val="000000"/>
          <w:lang w:val="en-US"/>
        </w:rPr>
      </w:pPr>
    </w:p>
    <w:p w14:paraId="372D1D14" w14:textId="29910327" w:rsidR="00525D33" w:rsidRPr="00670221" w:rsidRDefault="00525D33" w:rsidP="00525D33">
      <w:pPr>
        <w:rPr>
          <w:rFonts w:cstheme="minorHAnsi"/>
          <w:color w:val="000000"/>
          <w:lang w:val="en-US"/>
        </w:rPr>
      </w:pPr>
      <w:r w:rsidRPr="00670221">
        <w:rPr>
          <w:rFonts w:cstheme="minorHAnsi"/>
          <w:color w:val="000000"/>
          <w:lang w:val="en-US"/>
        </w:rPr>
        <w:lastRenderedPageBreak/>
        <w:t xml:space="preserve">This requires exploring the </w:t>
      </w:r>
      <w:r w:rsidR="009818F1" w:rsidRPr="00670221">
        <w:rPr>
          <w:rFonts w:cstheme="minorHAnsi"/>
          <w:color w:val="000000"/>
          <w:lang w:val="en-US"/>
        </w:rPr>
        <w:t>range of possible</w:t>
      </w:r>
      <w:r w:rsidRPr="00670221">
        <w:rPr>
          <w:rFonts w:cstheme="minorHAnsi"/>
          <w:color w:val="000000"/>
          <w:lang w:val="en-US"/>
        </w:rPr>
        <w:t xml:space="preserve"> </w:t>
      </w:r>
      <w:r w:rsidR="00907372" w:rsidRPr="00670221">
        <w:rPr>
          <w:rFonts w:cstheme="minorHAnsi"/>
          <w:color w:val="000000"/>
          <w:lang w:val="en-US"/>
        </w:rPr>
        <w:t>technologies within the socio-technical system</w:t>
      </w:r>
      <w:r w:rsidRPr="00670221">
        <w:rPr>
          <w:rFonts w:cstheme="minorHAnsi"/>
          <w:color w:val="000000"/>
          <w:lang w:val="en-US"/>
        </w:rPr>
        <w:t>,</w:t>
      </w:r>
      <w:r w:rsidR="004459CF" w:rsidRPr="00670221">
        <w:rPr>
          <w:rFonts w:cstheme="minorHAnsi"/>
          <w:color w:val="000000"/>
          <w:lang w:val="en-US"/>
        </w:rPr>
        <w:t xml:space="preserve"> determining which is the most viable for short term implementation in the EU</w:t>
      </w:r>
      <w:r w:rsidR="00786B34">
        <w:rPr>
          <w:rFonts w:cstheme="minorHAnsi"/>
          <w:color w:val="000000"/>
          <w:lang w:val="en-US"/>
        </w:rPr>
        <w:t xml:space="preserve">, </w:t>
      </w:r>
      <w:r w:rsidR="00786B34" w:rsidRPr="00786B34">
        <w:rPr>
          <w:rFonts w:cstheme="minorHAnsi"/>
          <w:color w:val="000000"/>
          <w:lang w:val="en-US"/>
        </w:rPr>
        <w:t>along with the requirements for their deployment</w:t>
      </w:r>
      <w:r w:rsidR="009D57D4" w:rsidRPr="00670221">
        <w:rPr>
          <w:rFonts w:cstheme="minorHAnsi"/>
          <w:color w:val="000000"/>
          <w:lang w:val="en-US"/>
        </w:rPr>
        <w:t xml:space="preserve">, </w:t>
      </w:r>
      <w:r w:rsidRPr="00670221">
        <w:rPr>
          <w:rFonts w:cstheme="minorHAnsi"/>
          <w:color w:val="000000"/>
          <w:lang w:val="en-US"/>
        </w:rPr>
        <w:t>leading to SQ 1:</w:t>
      </w:r>
    </w:p>
    <w:p w14:paraId="28077001" w14:textId="442DBBFB" w:rsidR="006A362A" w:rsidRDefault="006A362A" w:rsidP="00525D33">
      <w:pPr>
        <w:rPr>
          <w:rFonts w:cstheme="minorHAnsi"/>
          <w:i/>
          <w:iCs/>
          <w:color w:val="000000"/>
          <w:lang w:val="en-US"/>
        </w:rPr>
      </w:pPr>
      <w:r w:rsidRPr="006A362A">
        <w:rPr>
          <w:rFonts w:cstheme="minorHAnsi"/>
          <w:i/>
          <w:iCs/>
          <w:color w:val="000000"/>
          <w:lang w:val="en-US"/>
        </w:rPr>
        <w:t>Which sustainable aviation fuel (SAF) technologies are promising for short-term viability in the EU, considering the current socio-technical system</w:t>
      </w:r>
      <w:r>
        <w:rPr>
          <w:rFonts w:cstheme="minorHAnsi"/>
          <w:i/>
          <w:iCs/>
          <w:color w:val="000000"/>
          <w:lang w:val="en-US"/>
        </w:rPr>
        <w:t>?</w:t>
      </w:r>
    </w:p>
    <w:p w14:paraId="1622BA1B" w14:textId="77777777" w:rsidR="006A362A" w:rsidRPr="006A362A" w:rsidRDefault="006A362A" w:rsidP="00525D33">
      <w:pPr>
        <w:rPr>
          <w:rFonts w:cstheme="minorHAnsi"/>
          <w:i/>
          <w:iCs/>
          <w:color w:val="000000"/>
          <w:lang w:val="en-US"/>
        </w:rPr>
      </w:pPr>
    </w:p>
    <w:p w14:paraId="58516E42" w14:textId="385D2F84" w:rsidR="00525D33" w:rsidRPr="00670221" w:rsidRDefault="00096EC6" w:rsidP="00525D33">
      <w:pPr>
        <w:rPr>
          <w:rFonts w:cstheme="minorHAnsi"/>
          <w:color w:val="000000"/>
          <w:lang w:val="en-US"/>
        </w:rPr>
      </w:pPr>
      <w:r w:rsidRPr="00670221">
        <w:rPr>
          <w:rFonts w:cstheme="minorHAnsi"/>
          <w:color w:val="000000"/>
          <w:lang w:val="en-US"/>
        </w:rPr>
        <w:t>Once these technologies are identified, comparing them based on their costs is essential for determining which options are most promising</w:t>
      </w:r>
      <w:r w:rsidR="00525D33" w:rsidRPr="00670221">
        <w:rPr>
          <w:rFonts w:cstheme="minorHAnsi"/>
          <w:color w:val="000000"/>
          <w:lang w:val="en-US"/>
        </w:rPr>
        <w:t xml:space="preserve">. This comparison drives SQ 2: </w:t>
      </w:r>
    </w:p>
    <w:p w14:paraId="12754D6D" w14:textId="1251AD45" w:rsidR="00525D33" w:rsidRPr="00670221" w:rsidRDefault="00525D33" w:rsidP="00525D33">
      <w:pPr>
        <w:rPr>
          <w:rFonts w:cstheme="minorHAnsi"/>
          <w:i/>
          <w:iCs/>
          <w:color w:val="000000"/>
          <w:lang w:val="en-US"/>
        </w:rPr>
      </w:pPr>
      <w:r w:rsidRPr="00670221">
        <w:rPr>
          <w:rFonts w:cstheme="minorHAnsi"/>
          <w:i/>
          <w:iCs/>
          <w:color w:val="000000"/>
          <w:lang w:val="en-US"/>
        </w:rPr>
        <w:t xml:space="preserve">How do the </w:t>
      </w:r>
      <w:r w:rsidR="00FC3C36" w:rsidRPr="00670221">
        <w:rPr>
          <w:rFonts w:cstheme="minorHAnsi"/>
          <w:i/>
          <w:iCs/>
          <w:color w:val="000000"/>
          <w:lang w:val="en-US"/>
        </w:rPr>
        <w:t xml:space="preserve">identified </w:t>
      </w:r>
      <w:r w:rsidR="006A4341" w:rsidRPr="00670221">
        <w:rPr>
          <w:rFonts w:cstheme="minorHAnsi"/>
          <w:i/>
          <w:iCs/>
          <w:color w:val="000000"/>
          <w:lang w:val="en-US"/>
        </w:rPr>
        <w:t>technologies</w:t>
      </w:r>
      <w:r w:rsidRPr="00670221">
        <w:rPr>
          <w:rFonts w:cstheme="minorHAnsi"/>
          <w:i/>
          <w:iCs/>
          <w:color w:val="000000"/>
          <w:lang w:val="en-US"/>
        </w:rPr>
        <w:t xml:space="preserve"> </w:t>
      </w:r>
      <w:r w:rsidR="00FC3C36" w:rsidRPr="00670221">
        <w:rPr>
          <w:rFonts w:cstheme="minorHAnsi"/>
          <w:i/>
          <w:iCs/>
          <w:color w:val="000000"/>
          <w:lang w:val="en-US"/>
        </w:rPr>
        <w:t xml:space="preserve">perform in </w:t>
      </w:r>
      <w:r w:rsidR="00BC63BB" w:rsidRPr="00670221">
        <w:rPr>
          <w:rFonts w:cstheme="minorHAnsi"/>
          <w:i/>
          <w:iCs/>
          <w:color w:val="000000"/>
          <w:lang w:val="en-US"/>
        </w:rPr>
        <w:t>their overall costs</w:t>
      </w:r>
      <w:r w:rsidRPr="00670221">
        <w:rPr>
          <w:rFonts w:cstheme="minorHAnsi"/>
          <w:i/>
          <w:iCs/>
          <w:color w:val="000000"/>
          <w:lang w:val="en-US"/>
        </w:rPr>
        <w:t>?</w:t>
      </w:r>
    </w:p>
    <w:p w14:paraId="084C6207" w14:textId="77777777" w:rsidR="00984371" w:rsidRPr="00670221" w:rsidRDefault="00984371" w:rsidP="00525D33">
      <w:pPr>
        <w:rPr>
          <w:rFonts w:cstheme="minorHAnsi"/>
          <w:i/>
          <w:iCs/>
          <w:color w:val="000000"/>
          <w:lang w:val="en-US"/>
        </w:rPr>
      </w:pPr>
    </w:p>
    <w:p w14:paraId="17142942" w14:textId="4EBF3EA6" w:rsidR="009528DC" w:rsidRPr="00670221" w:rsidRDefault="009528DC" w:rsidP="001D6183">
      <w:pPr>
        <w:rPr>
          <w:rFonts w:cstheme="minorHAnsi"/>
          <w:color w:val="000000"/>
          <w:lang w:val="en-US"/>
        </w:rPr>
      </w:pPr>
      <w:r w:rsidRPr="00670221">
        <w:rPr>
          <w:rFonts w:cstheme="minorHAnsi"/>
          <w:color w:val="000000"/>
          <w:lang w:val="en-US"/>
        </w:rPr>
        <w:t>Sub-question 3 identifies the key cost drivers influencing SAF production. The sensitivity analysis highlights how varying these components impacts overall feasibility.</w:t>
      </w:r>
    </w:p>
    <w:p w14:paraId="1FFCF0A4" w14:textId="2685750A" w:rsidR="00525D33" w:rsidRPr="00670221" w:rsidRDefault="00EA18D5" w:rsidP="001D6183">
      <w:pPr>
        <w:rPr>
          <w:rFonts w:cstheme="minorHAnsi"/>
          <w:color w:val="000000"/>
          <w:lang w:val="en-US"/>
        </w:rPr>
      </w:pPr>
      <w:r w:rsidRPr="00670221">
        <w:rPr>
          <w:rFonts w:cstheme="minorHAnsi"/>
          <w:i/>
          <w:iCs/>
          <w:color w:val="000000"/>
          <w:lang w:val="en-US"/>
        </w:rPr>
        <w:t xml:space="preserve">What are the key cost drivers within </w:t>
      </w:r>
      <w:r w:rsidR="00096EC6" w:rsidRPr="00670221">
        <w:rPr>
          <w:rFonts w:cstheme="minorHAnsi"/>
          <w:i/>
          <w:iCs/>
          <w:color w:val="000000"/>
          <w:lang w:val="en-US"/>
        </w:rPr>
        <w:t>the identified</w:t>
      </w:r>
      <w:r w:rsidRPr="00670221">
        <w:rPr>
          <w:rFonts w:cstheme="minorHAnsi"/>
          <w:i/>
          <w:iCs/>
          <w:color w:val="000000"/>
          <w:lang w:val="en-US"/>
        </w:rPr>
        <w:t xml:space="preserve"> SAF </w:t>
      </w:r>
      <w:r w:rsidR="00096EC6" w:rsidRPr="00670221">
        <w:rPr>
          <w:rFonts w:cstheme="minorHAnsi"/>
          <w:i/>
          <w:iCs/>
          <w:color w:val="000000"/>
          <w:lang w:val="en-US"/>
        </w:rPr>
        <w:t>technolog</w:t>
      </w:r>
      <w:r w:rsidR="00FD1C53" w:rsidRPr="00670221">
        <w:rPr>
          <w:rFonts w:cstheme="minorHAnsi"/>
          <w:i/>
          <w:iCs/>
          <w:color w:val="000000"/>
          <w:lang w:val="en-US"/>
        </w:rPr>
        <w:t>ies</w:t>
      </w:r>
      <w:r w:rsidRPr="00670221">
        <w:rPr>
          <w:rFonts w:cstheme="minorHAnsi"/>
          <w:i/>
          <w:iCs/>
          <w:color w:val="000000"/>
          <w:lang w:val="en-US"/>
        </w:rPr>
        <w:t>, and how do these components evolve over time</w:t>
      </w:r>
      <w:r w:rsidR="00D319C7" w:rsidRPr="00670221">
        <w:rPr>
          <w:rFonts w:cstheme="minorHAnsi"/>
          <w:i/>
          <w:iCs/>
          <w:color w:val="000000"/>
          <w:lang w:val="en-US"/>
        </w:rPr>
        <w:t>?</w:t>
      </w:r>
    </w:p>
    <w:p w14:paraId="1276B3D2" w14:textId="77777777" w:rsidR="004F4D83" w:rsidRPr="00670221" w:rsidRDefault="004F4D83" w:rsidP="001D6183">
      <w:pPr>
        <w:rPr>
          <w:rFonts w:cstheme="minorHAnsi"/>
          <w:i/>
          <w:iCs/>
          <w:color w:val="000000"/>
          <w:lang w:val="en-US"/>
        </w:rPr>
      </w:pPr>
    </w:p>
    <w:p w14:paraId="29B93332" w14:textId="1810651B" w:rsidR="00992E2E" w:rsidRPr="00670221" w:rsidRDefault="00096EC6" w:rsidP="001D6183">
      <w:pPr>
        <w:rPr>
          <w:rFonts w:cstheme="minorHAnsi"/>
          <w:color w:val="000000"/>
          <w:lang w:val="en-US"/>
        </w:rPr>
      </w:pPr>
      <w:r w:rsidRPr="00670221">
        <w:rPr>
          <w:rFonts w:cstheme="minorHAnsi"/>
          <w:color w:val="000000"/>
          <w:lang w:val="en-US"/>
        </w:rPr>
        <w:t>Together, these sub-questions aim to offer a comprehensive understanding of the most promising SAF pathways by assessing both their interaction with the current socio-technical system and their overall cost-effectiveness. This analysis, by considering both technical and economic factors, will help identify viable options for scaling SAF production in alignment with the EU's decarbonization goals.</w:t>
      </w:r>
    </w:p>
    <w:p w14:paraId="60A94F89" w14:textId="77777777" w:rsidR="00096EC6" w:rsidRPr="00670221" w:rsidRDefault="00096EC6" w:rsidP="001D6183">
      <w:pPr>
        <w:rPr>
          <w:rFonts w:cstheme="minorHAnsi"/>
          <w:color w:val="000000"/>
          <w:lang w:val="en-US"/>
        </w:rPr>
      </w:pPr>
    </w:p>
    <w:p w14:paraId="448F5AFB" w14:textId="69381955" w:rsidR="007C1565" w:rsidRPr="00670221" w:rsidRDefault="007C1565" w:rsidP="007C1565">
      <w:pPr>
        <w:pStyle w:val="Heading2"/>
      </w:pPr>
      <w:bookmarkStart w:id="25" w:name="_Toc184403416"/>
      <w:r w:rsidRPr="00670221">
        <w:t xml:space="preserve">Link to </w:t>
      </w:r>
      <w:proofErr w:type="spellStart"/>
      <w:r w:rsidRPr="00670221">
        <w:t>CoSEM</w:t>
      </w:r>
      <w:bookmarkEnd w:id="25"/>
      <w:proofErr w:type="spellEnd"/>
    </w:p>
    <w:p w14:paraId="602B3473" w14:textId="1133F6D4" w:rsidR="006D00F8" w:rsidRPr="00670221" w:rsidRDefault="005371EC" w:rsidP="009A0C7A">
      <w:pPr>
        <w:rPr>
          <w:lang w:val="en-US"/>
        </w:rPr>
      </w:pPr>
      <w:r w:rsidRPr="005371EC">
        <w:rPr>
          <w:lang w:val="en-US"/>
        </w:rPr>
        <w:t xml:space="preserve">This thesis strongly aligns with the core principles of the </w:t>
      </w:r>
      <w:proofErr w:type="spellStart"/>
      <w:r w:rsidRPr="005371EC">
        <w:rPr>
          <w:lang w:val="en-US"/>
        </w:rPr>
        <w:t>CoSEM</w:t>
      </w:r>
      <w:proofErr w:type="spellEnd"/>
      <w:r w:rsidRPr="005371EC">
        <w:rPr>
          <w:lang w:val="en-US"/>
        </w:rPr>
        <w:t xml:space="preserve"> program, emphasizing the management of complex socio-technical systems. The research integrates techno-economic analysis with a socio-technical lens, addressing the challenge of developing and adopting synthetic sustainable aviation fuels (SAF) within the EU's regulatory and market framework. Through a systems-thinking approach, it examines the interdependencies between SAF technologies, policy, and stakeholder</w:t>
      </w:r>
      <w:r w:rsidR="000F1135">
        <w:rPr>
          <w:lang w:val="en-US"/>
        </w:rPr>
        <w:t>s</w:t>
      </w:r>
      <w:r w:rsidRPr="005371EC">
        <w:rPr>
          <w:lang w:val="en-US"/>
        </w:rPr>
        <w:t xml:space="preserve">—core aspects of the </w:t>
      </w:r>
      <w:proofErr w:type="spellStart"/>
      <w:r w:rsidRPr="005371EC">
        <w:rPr>
          <w:lang w:val="en-US"/>
        </w:rPr>
        <w:t>CoSEM</w:t>
      </w:r>
      <w:proofErr w:type="spellEnd"/>
      <w:r w:rsidRPr="005371EC">
        <w:rPr>
          <w:lang w:val="en-US"/>
        </w:rPr>
        <w:t xml:space="preserve"> curriculum.</w:t>
      </w:r>
      <w:r w:rsidR="00CA6B3F">
        <w:rPr>
          <w:lang w:val="en-US"/>
        </w:rPr>
        <w:t xml:space="preserve"> </w:t>
      </w:r>
      <w:r w:rsidR="006D00F8" w:rsidRPr="00670221">
        <w:rPr>
          <w:lang w:val="en-US"/>
        </w:rPr>
        <w:t xml:space="preserve">Additionally, the development of a model to evaluate these pathways reflects </w:t>
      </w:r>
      <w:proofErr w:type="spellStart"/>
      <w:r w:rsidR="006D00F8" w:rsidRPr="00670221">
        <w:rPr>
          <w:lang w:val="en-US"/>
        </w:rPr>
        <w:t>CoSEM’s</w:t>
      </w:r>
      <w:proofErr w:type="spellEnd"/>
      <w:r w:rsidR="006D00F8" w:rsidRPr="00670221">
        <w:rPr>
          <w:lang w:val="en-US"/>
        </w:rPr>
        <w:t xml:space="preserve"> interdisciplinary focus and commitment to informed decision-making in multi-actor environments. Ultimately, this research aims to contribute to actionable strategies for decarbonizing the aviation sector, supporting the broader goals of the </w:t>
      </w:r>
      <w:proofErr w:type="spellStart"/>
      <w:r w:rsidR="006D00F8" w:rsidRPr="00670221">
        <w:rPr>
          <w:lang w:val="en-US"/>
        </w:rPr>
        <w:t>CoSEM</w:t>
      </w:r>
      <w:proofErr w:type="spellEnd"/>
      <w:r w:rsidR="006D00F8" w:rsidRPr="00670221">
        <w:rPr>
          <w:lang w:val="en-US"/>
        </w:rPr>
        <w:t xml:space="preserve"> program.</w:t>
      </w:r>
    </w:p>
    <w:p w14:paraId="59EF4987" w14:textId="77777777" w:rsidR="006D00F8" w:rsidRPr="00670221" w:rsidRDefault="006D00F8" w:rsidP="009A0C7A">
      <w:pPr>
        <w:rPr>
          <w:lang w:val="en-US"/>
        </w:rPr>
      </w:pPr>
    </w:p>
    <w:p w14:paraId="6DFA97DF" w14:textId="3100DDB8" w:rsidR="007C1565" w:rsidRPr="00670221" w:rsidRDefault="008E5F4E" w:rsidP="007C1565">
      <w:pPr>
        <w:pStyle w:val="Heading2"/>
      </w:pPr>
      <w:bookmarkStart w:id="26" w:name="_Toc184403417"/>
      <w:r w:rsidRPr="00670221">
        <w:t>Structure of this Thesis</w:t>
      </w:r>
      <w:bookmarkEnd w:id="26"/>
    </w:p>
    <w:p w14:paraId="06757FD2" w14:textId="74F57B2E" w:rsidR="0085538E" w:rsidRPr="00670221" w:rsidRDefault="00975C45" w:rsidP="00447CC6">
      <w:pPr>
        <w:rPr>
          <w:lang w:val="en-US"/>
        </w:rPr>
      </w:pPr>
      <w:r w:rsidRPr="00670221">
        <w:rPr>
          <w:lang w:val="en-US"/>
        </w:rPr>
        <w:t xml:space="preserve">Chapter 1 establishes the foundation for this thesis by providing an overview of the </w:t>
      </w:r>
      <w:r w:rsidR="00F9269F" w:rsidRPr="00670221">
        <w:rPr>
          <w:lang w:val="en-US"/>
        </w:rPr>
        <w:t>core concepts</w:t>
      </w:r>
      <w:r w:rsidRPr="00670221">
        <w:rPr>
          <w:lang w:val="en-US"/>
        </w:rPr>
        <w:t xml:space="preserve">, identifying the knowledge gaps, outlining the research questions, and defining the scope of the study. In Chapter </w:t>
      </w:r>
      <w:r w:rsidR="00706E0B" w:rsidRPr="00670221">
        <w:rPr>
          <w:lang w:val="en-US"/>
        </w:rPr>
        <w:t>2</w:t>
      </w:r>
      <w:r w:rsidRPr="00670221">
        <w:rPr>
          <w:lang w:val="en-US"/>
        </w:rPr>
        <w:t xml:space="preserve">, the methodology adopted to address the research questions is presented. Chapter </w:t>
      </w:r>
      <w:r w:rsidR="00706E0B" w:rsidRPr="00670221">
        <w:rPr>
          <w:lang w:val="en-US"/>
        </w:rPr>
        <w:t>3</w:t>
      </w:r>
      <w:r w:rsidRPr="00670221">
        <w:rPr>
          <w:lang w:val="en-US"/>
        </w:rPr>
        <w:t xml:space="preserve"> presents the outcomes of the socio-technical analysis, offering insights into the interactions between regulatory, market, and technological factors within the context of </w:t>
      </w:r>
      <w:r w:rsidR="00851B55" w:rsidRPr="00670221">
        <w:rPr>
          <w:lang w:val="en-US"/>
        </w:rPr>
        <w:t xml:space="preserve">sustainable </w:t>
      </w:r>
      <w:r w:rsidRPr="00670221">
        <w:rPr>
          <w:lang w:val="en-US"/>
        </w:rPr>
        <w:t>aviation fuel</w:t>
      </w:r>
      <w:r w:rsidR="00B7241E" w:rsidRPr="00670221">
        <w:rPr>
          <w:lang w:val="en-US"/>
        </w:rPr>
        <w:t>s</w:t>
      </w:r>
      <w:r w:rsidR="006D00F8" w:rsidRPr="00670221">
        <w:rPr>
          <w:lang w:val="en-US"/>
        </w:rPr>
        <w:t>.</w:t>
      </w:r>
      <w:r w:rsidRPr="00670221">
        <w:rPr>
          <w:lang w:val="en-US"/>
        </w:rPr>
        <w:t xml:space="preserve"> Chapter </w:t>
      </w:r>
      <w:r w:rsidR="00E45F1C" w:rsidRPr="00670221">
        <w:rPr>
          <w:lang w:val="en-US"/>
        </w:rPr>
        <w:t>4</w:t>
      </w:r>
      <w:r w:rsidRPr="00670221">
        <w:rPr>
          <w:lang w:val="en-US"/>
        </w:rPr>
        <w:t xml:space="preserve"> follows with a techno-economic analysis, providing a </w:t>
      </w:r>
      <w:r w:rsidRPr="00670221">
        <w:rPr>
          <w:lang w:val="en-US"/>
        </w:rPr>
        <w:lastRenderedPageBreak/>
        <w:t xml:space="preserve">comprehensive evaluation of the economic viability of different SAF </w:t>
      </w:r>
      <w:r w:rsidR="002159A2" w:rsidRPr="00670221">
        <w:rPr>
          <w:lang w:val="en-US"/>
        </w:rPr>
        <w:t>technologies</w:t>
      </w:r>
      <w:r w:rsidRPr="00670221">
        <w:rPr>
          <w:lang w:val="en-US"/>
        </w:rPr>
        <w:t xml:space="preserve">. Chapter </w:t>
      </w:r>
      <w:r w:rsidR="00E45F1C" w:rsidRPr="00670221">
        <w:rPr>
          <w:lang w:val="en-US"/>
        </w:rPr>
        <w:t>5</w:t>
      </w:r>
      <w:r w:rsidRPr="00670221">
        <w:rPr>
          <w:lang w:val="en-US"/>
        </w:rPr>
        <w:t xml:space="preserve"> discusses and reflects on the findings, offering a critical assessment of the methodologies used and proposing directions for future research. Finally, Chapter </w:t>
      </w:r>
      <w:r w:rsidR="00E45F1C" w:rsidRPr="00670221">
        <w:rPr>
          <w:lang w:val="en-US"/>
        </w:rPr>
        <w:t>6</w:t>
      </w:r>
      <w:r w:rsidRPr="00670221">
        <w:rPr>
          <w:lang w:val="en-US"/>
        </w:rPr>
        <w:t xml:space="preserve"> concludes the thesis by revisiting the research questions, summarizing the key findings, and highlighting the study's contributions to both academic knowledge and practical applications.</w:t>
      </w:r>
      <w:bookmarkStart w:id="27" w:name="_Toc156562675"/>
      <w:r w:rsidR="0085538E" w:rsidRPr="00670221">
        <w:rPr>
          <w:lang w:val="en-US"/>
        </w:rPr>
        <w:br w:type="page"/>
      </w:r>
    </w:p>
    <w:p w14:paraId="2E438AEE" w14:textId="35973FC0" w:rsidR="00502C92" w:rsidRPr="00670221" w:rsidRDefault="00502C92" w:rsidP="00141199">
      <w:pPr>
        <w:pStyle w:val="Heading1"/>
      </w:pPr>
      <w:bookmarkStart w:id="28" w:name="_Toc184403418"/>
      <w:r w:rsidRPr="00670221">
        <w:lastRenderedPageBreak/>
        <w:t>Research Methodology</w:t>
      </w:r>
      <w:bookmarkEnd w:id="27"/>
      <w:bookmarkEnd w:id="28"/>
    </w:p>
    <w:p w14:paraId="61AD83BC" w14:textId="77777777" w:rsidR="008C40BD" w:rsidRPr="00670221" w:rsidRDefault="008C40BD" w:rsidP="00E403D5">
      <w:pPr>
        <w:rPr>
          <w:lang w:val="en-US"/>
        </w:rPr>
      </w:pPr>
    </w:p>
    <w:p w14:paraId="27E1534C" w14:textId="225A1D0F" w:rsidR="00E403D5" w:rsidRPr="00670221" w:rsidRDefault="00E403D5" w:rsidP="00E403D5">
      <w:pPr>
        <w:rPr>
          <w:lang w:val="en-US"/>
        </w:rPr>
      </w:pPr>
      <w:r w:rsidRPr="00670221">
        <w:rPr>
          <w:lang w:val="en-US"/>
        </w:rPr>
        <w:t xml:space="preserve">Chapter </w:t>
      </w:r>
      <w:r w:rsidR="00CD35F0" w:rsidRPr="00670221">
        <w:rPr>
          <w:lang w:val="en-US"/>
        </w:rPr>
        <w:t>2</w:t>
      </w:r>
      <w:r w:rsidRPr="00670221">
        <w:rPr>
          <w:lang w:val="en-US"/>
        </w:rPr>
        <w:t xml:space="preserve"> provides a detailed overview of the research methodology. Section </w:t>
      </w:r>
      <w:r w:rsidR="00CD35F0" w:rsidRPr="00670221">
        <w:rPr>
          <w:lang w:val="en-US"/>
        </w:rPr>
        <w:t>2</w:t>
      </w:r>
      <w:r w:rsidRPr="00670221">
        <w:rPr>
          <w:lang w:val="en-US"/>
        </w:rPr>
        <w:t xml:space="preserve">.1 presents the research </w:t>
      </w:r>
      <w:r w:rsidR="00597BA6" w:rsidRPr="00670221">
        <w:rPr>
          <w:lang w:val="en-US"/>
        </w:rPr>
        <w:t>approac</w:t>
      </w:r>
      <w:r w:rsidR="00132D1A" w:rsidRPr="00670221">
        <w:rPr>
          <w:lang w:val="en-US"/>
        </w:rPr>
        <w:t>h</w:t>
      </w:r>
      <w:r w:rsidRPr="00670221">
        <w:rPr>
          <w:lang w:val="en-US"/>
        </w:rPr>
        <w:t xml:space="preserve">. Section </w:t>
      </w:r>
      <w:r w:rsidR="00944B24" w:rsidRPr="00670221">
        <w:rPr>
          <w:lang w:val="en-US"/>
        </w:rPr>
        <w:t>2</w:t>
      </w:r>
      <w:r w:rsidRPr="00670221">
        <w:rPr>
          <w:lang w:val="en-US"/>
        </w:rPr>
        <w:t xml:space="preserve">.2 delves into the data collection process. Section </w:t>
      </w:r>
      <w:r w:rsidR="00944B24" w:rsidRPr="00670221">
        <w:rPr>
          <w:lang w:val="en-US"/>
        </w:rPr>
        <w:t>2</w:t>
      </w:r>
      <w:r w:rsidRPr="00670221">
        <w:rPr>
          <w:lang w:val="en-US"/>
        </w:rPr>
        <w:t xml:space="preserve">.3 explains the application of the Technological Innovation System (TIS) framework for socio-technical analysis, focusing on its specific relevance to the study. Section </w:t>
      </w:r>
      <w:r w:rsidR="00944B24" w:rsidRPr="00670221">
        <w:rPr>
          <w:lang w:val="en-US"/>
        </w:rPr>
        <w:t>2</w:t>
      </w:r>
      <w:r w:rsidRPr="00670221">
        <w:rPr>
          <w:lang w:val="en-US"/>
        </w:rPr>
        <w:t xml:space="preserve">.4 discusses the </w:t>
      </w:r>
      <w:r w:rsidR="00C872C1">
        <w:rPr>
          <w:lang w:val="en-US"/>
        </w:rPr>
        <w:t>t</w:t>
      </w:r>
      <w:r w:rsidRPr="00670221">
        <w:rPr>
          <w:lang w:val="en-US"/>
        </w:rPr>
        <w:t>echno-</w:t>
      </w:r>
      <w:r w:rsidR="00C872C1">
        <w:rPr>
          <w:lang w:val="en-US"/>
        </w:rPr>
        <w:t>e</w:t>
      </w:r>
      <w:r w:rsidRPr="00670221">
        <w:rPr>
          <w:lang w:val="en-US"/>
        </w:rPr>
        <w:t xml:space="preserve">conomic </w:t>
      </w:r>
      <w:r w:rsidR="00C872C1">
        <w:rPr>
          <w:lang w:val="en-US"/>
        </w:rPr>
        <w:t>a</w:t>
      </w:r>
      <w:r w:rsidRPr="00670221">
        <w:rPr>
          <w:lang w:val="en-US"/>
        </w:rPr>
        <w:t>nalysis, assessing the economic dimensions of e</w:t>
      </w:r>
      <w:r w:rsidR="00F71BE8">
        <w:rPr>
          <w:lang w:val="en-US"/>
        </w:rPr>
        <w:t>-</w:t>
      </w:r>
      <w:r w:rsidRPr="00670221">
        <w:rPr>
          <w:lang w:val="en-US"/>
        </w:rPr>
        <w:t>fuel production.</w:t>
      </w:r>
      <w:r w:rsidR="00B17CC9" w:rsidRPr="00670221">
        <w:rPr>
          <w:lang w:val="en-US"/>
        </w:rPr>
        <w:t xml:space="preserve"> </w:t>
      </w:r>
      <w:r w:rsidRPr="00670221">
        <w:rPr>
          <w:lang w:val="en-US"/>
        </w:rPr>
        <w:t>A flow diagram is included to visually represent the research process, showing how the methodologies align with the study's objectives. This structure ensures that the methodology is both comprehensive and aligned with the research goals.</w:t>
      </w:r>
    </w:p>
    <w:p w14:paraId="7FCBC8FE" w14:textId="6CC32F55" w:rsidR="00E403D5" w:rsidRPr="00670221" w:rsidRDefault="00B17CC9" w:rsidP="00E403D5">
      <w:pPr>
        <w:jc w:val="center"/>
        <w:rPr>
          <w:lang w:val="en-US"/>
        </w:rPr>
      </w:pPr>
      <w:r w:rsidRPr="00670221">
        <w:rPr>
          <w:noProof/>
          <w:lang w:val="en-US"/>
        </w:rPr>
        <w:drawing>
          <wp:anchor distT="0" distB="0" distL="114300" distR="114300" simplePos="0" relativeHeight="251658240" behindDoc="0" locked="0" layoutInCell="1" allowOverlap="1" wp14:anchorId="05505A75" wp14:editId="79308C58">
            <wp:simplePos x="0" y="0"/>
            <wp:positionH relativeFrom="column">
              <wp:posOffset>6350</wp:posOffset>
            </wp:positionH>
            <wp:positionV relativeFrom="paragraph">
              <wp:posOffset>24765</wp:posOffset>
            </wp:positionV>
            <wp:extent cx="4140200" cy="5854700"/>
            <wp:effectExtent l="0" t="0" r="0" b="0"/>
            <wp:wrapSquare wrapText="bothSides"/>
            <wp:docPr id="1137354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54195" name="Picture 1137354195"/>
                    <pic:cNvPicPr/>
                  </pic:nvPicPr>
                  <pic:blipFill>
                    <a:blip r:embed="rId23">
                      <a:extLst>
                        <a:ext uri="{28A0092B-C50C-407E-A947-70E740481C1C}">
                          <a14:useLocalDpi xmlns:a14="http://schemas.microsoft.com/office/drawing/2010/main" val="0"/>
                        </a:ext>
                      </a:extLst>
                    </a:blip>
                    <a:stretch>
                      <a:fillRect/>
                    </a:stretch>
                  </pic:blipFill>
                  <pic:spPr>
                    <a:xfrm>
                      <a:off x="0" y="0"/>
                      <a:ext cx="4140200" cy="5854700"/>
                    </a:xfrm>
                    <a:prstGeom prst="rect">
                      <a:avLst/>
                    </a:prstGeom>
                  </pic:spPr>
                </pic:pic>
              </a:graphicData>
            </a:graphic>
            <wp14:sizeRelH relativeFrom="page">
              <wp14:pctWidth>0</wp14:pctWidth>
            </wp14:sizeRelH>
            <wp14:sizeRelV relativeFrom="page">
              <wp14:pctHeight>0</wp14:pctHeight>
            </wp14:sizeRelV>
          </wp:anchor>
        </w:drawing>
      </w:r>
      <w:r w:rsidR="005C357D" w:rsidRPr="00670221">
        <w:rPr>
          <w:lang w:val="en-US"/>
        </w:rPr>
        <w:t xml:space="preserve"> </w:t>
      </w:r>
    </w:p>
    <w:p w14:paraId="2958D1C0" w14:textId="4FB51047" w:rsidR="005C357D" w:rsidRPr="00670221" w:rsidRDefault="00B17CC9">
      <w:pPr>
        <w:spacing w:before="0" w:after="0"/>
        <w:jc w:val="left"/>
        <w:rPr>
          <w:rFonts w:asciiTheme="majorHAnsi" w:eastAsiaTheme="majorEastAsia" w:hAnsiTheme="majorHAnsi" w:cstheme="majorBidi"/>
          <w:color w:val="000000" w:themeColor="text1"/>
          <w:sz w:val="32"/>
          <w:szCs w:val="26"/>
          <w:highlight w:val="lightGray"/>
          <w:lang w:val="en-US"/>
        </w:rPr>
      </w:pPr>
      <w:r w:rsidRPr="00670221">
        <w:rPr>
          <w:noProof/>
          <w:lang w:val="en-US"/>
        </w:rPr>
        <w:drawing>
          <wp:anchor distT="0" distB="0" distL="114300" distR="114300" simplePos="0" relativeHeight="251659264" behindDoc="0" locked="0" layoutInCell="1" allowOverlap="1" wp14:anchorId="339021A4" wp14:editId="1AA9A520">
            <wp:simplePos x="0" y="0"/>
            <wp:positionH relativeFrom="column">
              <wp:posOffset>4042410</wp:posOffset>
            </wp:positionH>
            <wp:positionV relativeFrom="paragraph">
              <wp:posOffset>1971675</wp:posOffset>
            </wp:positionV>
            <wp:extent cx="1716405" cy="1435735"/>
            <wp:effectExtent l="0" t="0" r="0" b="0"/>
            <wp:wrapSquare wrapText="bothSides"/>
            <wp:docPr id="970454343" name="Picture 4"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54343" name="Picture 4" descr="A screenshot of a diagram&#10;&#10;Description automatically generated"/>
                    <pic:cNvPicPr/>
                  </pic:nvPicPr>
                  <pic:blipFill rotWithShape="1">
                    <a:blip r:embed="rId24">
                      <a:extLst>
                        <a:ext uri="{28A0092B-C50C-407E-A947-70E740481C1C}">
                          <a14:useLocalDpi xmlns:a14="http://schemas.microsoft.com/office/drawing/2010/main" val="0"/>
                        </a:ext>
                      </a:extLst>
                    </a:blip>
                    <a:srcRect l="28582" t="19419" r="37275" b="60379"/>
                    <a:stretch/>
                  </pic:blipFill>
                  <pic:spPr bwMode="auto">
                    <a:xfrm>
                      <a:off x="0" y="0"/>
                      <a:ext cx="1716405" cy="143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57D" w:rsidRPr="00670221">
        <w:rPr>
          <w:noProof/>
          <w:lang w:val="en-US"/>
        </w:rPr>
        <mc:AlternateContent>
          <mc:Choice Requires="wps">
            <w:drawing>
              <wp:anchor distT="0" distB="0" distL="114300" distR="114300" simplePos="0" relativeHeight="251661312" behindDoc="0" locked="0" layoutInCell="1" allowOverlap="1" wp14:anchorId="6F0876D2" wp14:editId="05E1C8A7">
                <wp:simplePos x="0" y="0"/>
                <wp:positionH relativeFrom="column">
                  <wp:posOffset>6292</wp:posOffset>
                </wp:positionH>
                <wp:positionV relativeFrom="paragraph">
                  <wp:posOffset>5621077</wp:posOffset>
                </wp:positionV>
                <wp:extent cx="5755640" cy="635"/>
                <wp:effectExtent l="0" t="0" r="0" b="0"/>
                <wp:wrapSquare wrapText="bothSides"/>
                <wp:docPr id="303426065" name="Text Box 1"/>
                <wp:cNvGraphicFramePr/>
                <a:graphic xmlns:a="http://schemas.openxmlformats.org/drawingml/2006/main">
                  <a:graphicData uri="http://schemas.microsoft.com/office/word/2010/wordprocessingShape">
                    <wps:wsp>
                      <wps:cNvSpPr txBox="1"/>
                      <wps:spPr>
                        <a:xfrm>
                          <a:off x="0" y="0"/>
                          <a:ext cx="5755640" cy="635"/>
                        </a:xfrm>
                        <a:prstGeom prst="rect">
                          <a:avLst/>
                        </a:prstGeom>
                        <a:solidFill>
                          <a:prstClr val="white"/>
                        </a:solidFill>
                        <a:ln>
                          <a:noFill/>
                        </a:ln>
                      </wps:spPr>
                      <wps:txbx>
                        <w:txbxContent>
                          <w:p w14:paraId="7EEF8B22" w14:textId="42B930B4" w:rsidR="005C357D" w:rsidRPr="00827181" w:rsidRDefault="005C357D" w:rsidP="005C357D">
                            <w:pPr>
                              <w:pStyle w:val="Caption"/>
                              <w:rPr>
                                <w:noProof/>
                                <w:lang w:val="en-US"/>
                              </w:rPr>
                            </w:pPr>
                            <w:bookmarkStart w:id="29" w:name="_Toc184403542"/>
                            <w:r>
                              <w:t xml:space="preserve">Figure </w:t>
                            </w:r>
                            <w:fldSimple w:instr=" STYLEREF 1 \s ">
                              <w:r w:rsidR="002A3EA2">
                                <w:rPr>
                                  <w:noProof/>
                                </w:rPr>
                                <w:t>2</w:t>
                              </w:r>
                            </w:fldSimple>
                            <w:r w:rsidR="002A3EA2">
                              <w:t>.</w:t>
                            </w:r>
                            <w:fldSimple w:instr=" SEQ Figure \* ARABIC \s 1 ">
                              <w:r w:rsidR="002A3EA2">
                                <w:rPr>
                                  <w:noProof/>
                                </w:rPr>
                                <w:t>1</w:t>
                              </w:r>
                            </w:fldSimple>
                            <w:r>
                              <w:t>: Research Flow Diagra</w:t>
                            </w:r>
                            <w:r w:rsidR="00B17CC9">
                              <w:t>m</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0876D2" id="_x0000_t202" coordsize="21600,21600" o:spt="202" path="m,l,21600r21600,l21600,xe">
                <v:stroke joinstyle="miter"/>
                <v:path gradientshapeok="t" o:connecttype="rect"/>
              </v:shapetype>
              <v:shape id="Text Box 1" o:spid="_x0000_s1029" type="#_x0000_t202" style="position:absolute;margin-left:.5pt;margin-top:442.6pt;width:453.2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" stroked="f">
                <v:textbox style="mso-fit-shape-to-text:t" inset="0,0,0,0">
                  <w:txbxContent>
                    <w:p w14:paraId="7EEF8B22" w14:textId="42B930B4" w:rsidR="005C357D" w:rsidRPr="00827181" w:rsidRDefault="005C357D" w:rsidP="005C357D">
                      <w:pPr>
                        <w:pStyle w:val="Caption"/>
                        <w:rPr>
                          <w:noProof/>
                          <w:lang w:val="en-US"/>
                        </w:rPr>
                      </w:pPr>
                      <w:bookmarkStart w:id="30" w:name="_Toc184403542"/>
                      <w:r>
                        <w:t xml:space="preserve">Figure </w:t>
                      </w:r>
                      <w:fldSimple w:instr=" STYLEREF 1 \s ">
                        <w:r w:rsidR="002A3EA2">
                          <w:rPr>
                            <w:noProof/>
                          </w:rPr>
                          <w:t>2</w:t>
                        </w:r>
                      </w:fldSimple>
                      <w:r w:rsidR="002A3EA2">
                        <w:t>.</w:t>
                      </w:r>
                      <w:fldSimple w:instr=" SEQ Figure \* ARABIC \s 1 ">
                        <w:r w:rsidR="002A3EA2">
                          <w:rPr>
                            <w:noProof/>
                          </w:rPr>
                          <w:t>1</w:t>
                        </w:r>
                      </w:fldSimple>
                      <w:r>
                        <w:t>: Research Flow Diagra</w:t>
                      </w:r>
                      <w:r w:rsidR="00B17CC9">
                        <w:t>m</w:t>
                      </w:r>
                      <w:bookmarkEnd w:id="30"/>
                    </w:p>
                  </w:txbxContent>
                </v:textbox>
                <w10:wrap type="square"/>
              </v:shape>
            </w:pict>
          </mc:Fallback>
        </mc:AlternateContent>
      </w:r>
      <w:r w:rsidR="005C357D" w:rsidRPr="00670221">
        <w:rPr>
          <w:highlight w:val="lightGray"/>
          <w:lang w:val="en-US"/>
        </w:rPr>
        <w:br w:type="page"/>
      </w:r>
    </w:p>
    <w:p w14:paraId="38C20AE6" w14:textId="7AC64647" w:rsidR="005C357D" w:rsidRPr="00670221" w:rsidRDefault="00FA0CC5" w:rsidP="005C357D">
      <w:pPr>
        <w:pStyle w:val="Heading2"/>
      </w:pPr>
      <w:bookmarkStart w:id="31" w:name="_Toc184403419"/>
      <w:r w:rsidRPr="00670221">
        <w:lastRenderedPageBreak/>
        <w:t>Research Approach</w:t>
      </w:r>
      <w:bookmarkEnd w:id="31"/>
    </w:p>
    <w:p w14:paraId="3D22E810" w14:textId="1C71C2B4" w:rsidR="00447FF8" w:rsidRPr="00670221" w:rsidRDefault="00447FF8" w:rsidP="00447FF8">
      <w:pPr>
        <w:rPr>
          <w:rFonts w:cstheme="minorHAnsi"/>
          <w:lang w:val="en-US"/>
        </w:rPr>
      </w:pPr>
      <w:r w:rsidRPr="00670221">
        <w:rPr>
          <w:rFonts w:cstheme="minorHAnsi"/>
          <w:lang w:val="en-US"/>
        </w:rPr>
        <w:t xml:space="preserve">The research problem, centered on the high costs, </w:t>
      </w:r>
      <w:r w:rsidR="00AC4F2F" w:rsidRPr="00670221">
        <w:rPr>
          <w:rFonts w:cstheme="minorHAnsi"/>
          <w:lang w:val="en-US"/>
        </w:rPr>
        <w:t xml:space="preserve">resulting in the </w:t>
      </w:r>
      <w:r w:rsidRPr="00670221">
        <w:rPr>
          <w:rFonts w:cstheme="minorHAnsi"/>
          <w:lang w:val="en-US"/>
        </w:rPr>
        <w:t xml:space="preserve">limited adoption of </w:t>
      </w:r>
      <w:r w:rsidR="00AC4F2F" w:rsidRPr="00670221">
        <w:rPr>
          <w:rFonts w:cstheme="minorHAnsi"/>
          <w:lang w:val="en-US"/>
        </w:rPr>
        <w:t xml:space="preserve">both SAF and </w:t>
      </w:r>
      <w:r w:rsidR="00A3485F" w:rsidRPr="00670221">
        <w:rPr>
          <w:rFonts w:cstheme="minorHAnsi"/>
          <w:lang w:val="en-US"/>
        </w:rPr>
        <w:t>DAC</w:t>
      </w:r>
      <w:r w:rsidRPr="00670221">
        <w:rPr>
          <w:rFonts w:cstheme="minorHAnsi"/>
          <w:lang w:val="en-US"/>
        </w:rPr>
        <w:t xml:space="preserve">, requires a thorough approach. Addressing this complexity necessitates a deep understanding of both the economic viability of </w:t>
      </w:r>
      <w:r w:rsidR="00DC5A05" w:rsidRPr="00670221">
        <w:rPr>
          <w:rFonts w:cstheme="minorHAnsi"/>
          <w:lang w:val="en-US"/>
        </w:rPr>
        <w:t xml:space="preserve">DAC, </w:t>
      </w:r>
      <w:r w:rsidRPr="00670221">
        <w:rPr>
          <w:rFonts w:cstheme="minorHAnsi"/>
          <w:lang w:val="en-US"/>
        </w:rPr>
        <w:t>e</w:t>
      </w:r>
      <w:r w:rsidR="00F71BE8">
        <w:rPr>
          <w:rFonts w:cstheme="minorHAnsi"/>
          <w:lang w:val="en-US"/>
        </w:rPr>
        <w:t>-</w:t>
      </w:r>
      <w:r w:rsidRPr="00670221">
        <w:rPr>
          <w:rFonts w:cstheme="minorHAnsi"/>
          <w:lang w:val="en-US"/>
        </w:rPr>
        <w:t xml:space="preserve">fuels and the broader socio-technical dynamics that influence its adoption. The research objective—identifying the most viable sustainable aviation fuel </w:t>
      </w:r>
      <w:r w:rsidR="00674A0B" w:rsidRPr="00670221">
        <w:rPr>
          <w:rFonts w:cstheme="minorHAnsi"/>
          <w:lang w:val="en-US"/>
        </w:rPr>
        <w:t>technolog</w:t>
      </w:r>
      <w:r w:rsidR="00562608" w:rsidRPr="00670221">
        <w:rPr>
          <w:rFonts w:cstheme="minorHAnsi"/>
          <w:lang w:val="en-US"/>
        </w:rPr>
        <w:t>y</w:t>
      </w:r>
      <w:r w:rsidRPr="00670221">
        <w:rPr>
          <w:rFonts w:cstheme="minorHAnsi"/>
          <w:lang w:val="en-US"/>
        </w:rPr>
        <w:t xml:space="preserve"> </w:t>
      </w:r>
      <w:r w:rsidR="00E9513D" w:rsidRPr="00670221">
        <w:rPr>
          <w:rFonts w:cstheme="minorHAnsi"/>
          <w:lang w:val="en-US"/>
        </w:rPr>
        <w:t xml:space="preserve">for DAC </w:t>
      </w:r>
      <w:r w:rsidRPr="00670221">
        <w:rPr>
          <w:rFonts w:cstheme="minorHAnsi"/>
          <w:lang w:val="en-US"/>
        </w:rPr>
        <w:t>within the EU—led to the adoption of a mixed-methods approach.</w:t>
      </w:r>
      <w:r w:rsidR="007F3938" w:rsidRPr="00670221">
        <w:rPr>
          <w:rFonts w:cstheme="minorHAnsi"/>
          <w:lang w:val="en-US"/>
        </w:rPr>
        <w:t xml:space="preserve"> </w:t>
      </w:r>
    </w:p>
    <w:p w14:paraId="65ED2BBC" w14:textId="4FB3ED35" w:rsidR="00652AD3" w:rsidRPr="00670221" w:rsidRDefault="00652AD3" w:rsidP="00652AD3">
      <w:pPr>
        <w:rPr>
          <w:rFonts w:cstheme="minorHAnsi"/>
          <w:lang w:val="en-US"/>
        </w:rPr>
      </w:pPr>
      <w:r w:rsidRPr="00670221">
        <w:rPr>
          <w:rFonts w:cstheme="minorHAnsi"/>
          <w:lang w:val="en-US"/>
        </w:rPr>
        <w:t>This mixed-method approach integrates both qualitative and quantitative</w:t>
      </w:r>
      <w:r w:rsidR="002F5F5C" w:rsidRPr="00670221">
        <w:rPr>
          <w:rFonts w:cstheme="minorHAnsi"/>
          <w:lang w:val="en-US"/>
        </w:rPr>
        <w:t xml:space="preserve"> analyses</w:t>
      </w:r>
      <w:r w:rsidRPr="00670221">
        <w:rPr>
          <w:rFonts w:cstheme="minorHAnsi"/>
          <w:lang w:val="en-US"/>
        </w:rPr>
        <w:t>. The qualitative component involves conducting a socio-technical analysis through a literature review, exploring the interactions between stakeholders, regulatory frameworks, and technological factors. This approach is essential for capturing the complexity of the current system (Creswell, 1994).</w:t>
      </w:r>
    </w:p>
    <w:p w14:paraId="270AB708" w14:textId="247643C7" w:rsidR="00CF156F" w:rsidRPr="00670221" w:rsidRDefault="00652AD3" w:rsidP="00652AD3">
      <w:pPr>
        <w:rPr>
          <w:rFonts w:cstheme="minorHAnsi"/>
          <w:lang w:val="en-US"/>
        </w:rPr>
      </w:pPr>
      <w:r w:rsidRPr="00670221">
        <w:rPr>
          <w:rFonts w:cstheme="minorHAnsi"/>
          <w:lang w:val="en-US"/>
        </w:rPr>
        <w:t xml:space="preserve">Meanwhile, the quantitative component focuses on assessing the economic feasibility of various SAF </w:t>
      </w:r>
      <w:r w:rsidR="00C60FF9" w:rsidRPr="00670221">
        <w:rPr>
          <w:rFonts w:cstheme="minorHAnsi"/>
          <w:lang w:val="en-US"/>
        </w:rPr>
        <w:t>pathways</w:t>
      </w:r>
      <w:r w:rsidRPr="00670221">
        <w:rPr>
          <w:rFonts w:cstheme="minorHAnsi"/>
          <w:lang w:val="en-US"/>
        </w:rPr>
        <w:t xml:space="preserve"> through a techno-economic assessment using a modeling approach. Quantitative research allows for the testing of objective theories by examining relationships among variables. By subjecting proposed value chains to quantitative tests, this mixed-method approach captures the strengths of both analyses, generating actionable insights that are economically viable and socio-technically feasible, aligning with the EU’s decarbonization goals (Creswell, 1994). Both elements are illustrated on the left-hand side of figure </w:t>
      </w:r>
      <w:r w:rsidR="00A07D48" w:rsidRPr="00670221">
        <w:rPr>
          <w:rFonts w:cstheme="minorHAnsi"/>
          <w:lang w:val="en-US"/>
        </w:rPr>
        <w:t>2</w:t>
      </w:r>
      <w:r w:rsidRPr="00670221">
        <w:rPr>
          <w:rFonts w:cstheme="minorHAnsi"/>
          <w:lang w:val="en-US"/>
        </w:rPr>
        <w:t>.1.</w:t>
      </w:r>
    </w:p>
    <w:p w14:paraId="57B8F9BD" w14:textId="77777777" w:rsidR="00652AD3" w:rsidRPr="00670221" w:rsidRDefault="00652AD3" w:rsidP="00652AD3">
      <w:pPr>
        <w:rPr>
          <w:lang w:val="en-US"/>
        </w:rPr>
      </w:pPr>
    </w:p>
    <w:p w14:paraId="6A7BEC32" w14:textId="0C51BB13" w:rsidR="00D214E8" w:rsidRPr="00670221" w:rsidRDefault="00597BA6" w:rsidP="00C608B1">
      <w:pPr>
        <w:pStyle w:val="Heading2"/>
      </w:pPr>
      <w:bookmarkStart w:id="32" w:name="_Toc184403420"/>
      <w:r w:rsidRPr="00670221">
        <w:t xml:space="preserve">Data </w:t>
      </w:r>
      <w:r w:rsidR="00715DC5" w:rsidRPr="00670221">
        <w:t>C</w:t>
      </w:r>
      <w:r w:rsidRPr="00670221">
        <w:t>ollection</w:t>
      </w:r>
      <w:bookmarkEnd w:id="32"/>
    </w:p>
    <w:p w14:paraId="4CEA0DAE" w14:textId="2E4556C0" w:rsidR="009C339B" w:rsidRPr="00670221" w:rsidRDefault="00C851C8" w:rsidP="007677F1">
      <w:pPr>
        <w:rPr>
          <w:lang w:val="en-US"/>
        </w:rPr>
      </w:pPr>
      <w:r w:rsidRPr="00670221">
        <w:rPr>
          <w:lang w:val="en-US"/>
        </w:rPr>
        <w:t>During the initial literature review, the primary focus was on identifying the existing literature gap</w:t>
      </w:r>
      <w:r w:rsidR="009C339B" w:rsidRPr="00670221">
        <w:rPr>
          <w:lang w:val="en-US"/>
        </w:rPr>
        <w:t xml:space="preserve">. Simultaneously, this review facilitated the identification of key roles and processes within the SAF </w:t>
      </w:r>
      <w:r w:rsidR="00F24C8C" w:rsidRPr="00670221">
        <w:rPr>
          <w:lang w:val="en-US"/>
        </w:rPr>
        <w:t>value chain</w:t>
      </w:r>
      <w:r w:rsidR="009C339B" w:rsidRPr="00670221">
        <w:rPr>
          <w:lang w:val="en-US"/>
        </w:rPr>
        <w:t>, including but not limited to energy generation, hydrogen production, carbon supply, and fuel production. Building on this foundational work, a more detailed search was conducted to systematically explore the alternative</w:t>
      </w:r>
      <w:r w:rsidR="00363962" w:rsidRPr="00670221">
        <w:rPr>
          <w:lang w:val="en-US"/>
        </w:rPr>
        <w:t xml:space="preserve"> technological pathways</w:t>
      </w:r>
      <w:r w:rsidR="009C339B" w:rsidRPr="00670221">
        <w:rPr>
          <w:lang w:val="en-US"/>
        </w:rPr>
        <w:t>.</w:t>
      </w:r>
      <w:r w:rsidR="00CE21B0" w:rsidRPr="00670221">
        <w:rPr>
          <w:lang w:val="en-US"/>
        </w:rPr>
        <w:t xml:space="preserve"> The adjusted search query can be retrieved in Appendix D. </w:t>
      </w:r>
      <w:r w:rsidR="00ED4112" w:rsidRPr="00670221">
        <w:rPr>
          <w:lang w:val="en-US"/>
        </w:rPr>
        <w:t xml:space="preserve">Additionally, </w:t>
      </w:r>
      <w:r w:rsidR="00CE551E" w:rsidRPr="00670221">
        <w:rPr>
          <w:lang w:val="en-US"/>
        </w:rPr>
        <w:t>two webinars, organized by airlines, airports, CO2 suppliers, fuel producers, NGOs, and IATA, were attended to gather additional insights into the socio-technical system. Detailed notes were taken during the sessions, followed by discussions to identify key takeaways. The most important insights were summarized, providing valuable perspectives that complemented the literature review. These webinars offered deeper insights into the challenges the industry faces, potential technolog</w:t>
      </w:r>
      <w:r w:rsidR="00DC07F0" w:rsidRPr="00670221">
        <w:rPr>
          <w:lang w:val="en-US"/>
        </w:rPr>
        <w:t>ies</w:t>
      </w:r>
      <w:r w:rsidR="00CE551E" w:rsidRPr="00670221">
        <w:rPr>
          <w:lang w:val="en-US"/>
        </w:rPr>
        <w:t>, and the roles of various stakeholders. The insights gathered laid the groundwork for a more comprehensive socio-technical analysis.</w:t>
      </w:r>
    </w:p>
    <w:p w14:paraId="2E18212E" w14:textId="5D7AC89E" w:rsidR="00076CDB" w:rsidRPr="00670221" w:rsidRDefault="00076CDB" w:rsidP="00076CDB">
      <w:pPr>
        <w:rPr>
          <w:lang w:val="en-US"/>
        </w:rPr>
      </w:pPr>
      <w:r w:rsidRPr="00670221">
        <w:rPr>
          <w:lang w:val="en-US"/>
        </w:rPr>
        <w:t>Literature studies enable the extraction and synthesis of information from diverse sources, fostering new insights and enhancing the credibility of research (Leech &amp; Onwuegbuzie, 2010). This process also helps identify potential contradictions or inconsistencies within the field. A structured literature review offers significant advantages, including representation and legitimization. Peer-reviewed literature is particularly valuable for its credibility and academic rigor. Its standardized format also facilitates efficient searching, selection, and content analysis (Paez, 2017). While grey literature lacks peer review, it broadens the scope of the review by incorporating a wider range of sources. This inclusion is vital in rapidly evolving fields like SAF, where grey literature provides the most current context</w:t>
      </w:r>
      <w:r w:rsidR="00CE21B0" w:rsidRPr="00670221">
        <w:rPr>
          <w:lang w:val="en-US"/>
        </w:rPr>
        <w:t xml:space="preserve">. </w:t>
      </w:r>
      <w:r w:rsidRPr="00670221">
        <w:rPr>
          <w:lang w:val="en-US"/>
        </w:rPr>
        <w:t xml:space="preserve">However, challenges such as varying </w:t>
      </w:r>
      <w:r w:rsidRPr="00670221">
        <w:rPr>
          <w:lang w:val="en-US"/>
        </w:rPr>
        <w:lastRenderedPageBreak/>
        <w:t>quality, time-consuming analysis, and the absence of standardized presentation formats are associated with grey literature</w:t>
      </w:r>
      <w:r w:rsidR="00CE21B0" w:rsidRPr="00670221">
        <w:rPr>
          <w:lang w:val="en-US"/>
        </w:rPr>
        <w:t xml:space="preserve"> (Paez, 2017)</w:t>
      </w:r>
      <w:r w:rsidRPr="00670221">
        <w:rPr>
          <w:lang w:val="en-US"/>
        </w:rPr>
        <w:t>.</w:t>
      </w:r>
    </w:p>
    <w:p w14:paraId="194F11A2" w14:textId="1915A865" w:rsidR="00CF156F" w:rsidRPr="00670221" w:rsidRDefault="00076CDB" w:rsidP="00076CDB">
      <w:pPr>
        <w:rPr>
          <w:lang w:val="en-US"/>
        </w:rPr>
      </w:pPr>
      <w:r w:rsidRPr="00670221">
        <w:rPr>
          <w:lang w:val="en-US"/>
        </w:rPr>
        <w:t xml:space="preserve">The literature for this study was sourced primarily from Scopus, with articles selected based on relevance, recency, and peer-reviewed evaluations, ensuring a solid foundation for the research. The structured literature review adhered to the PRISM framework, as detailed in Appendix </w:t>
      </w:r>
      <w:r w:rsidR="00CE21B0" w:rsidRPr="00670221">
        <w:rPr>
          <w:lang w:val="en-US"/>
        </w:rPr>
        <w:t>D</w:t>
      </w:r>
      <w:r w:rsidRPr="00670221">
        <w:rPr>
          <w:lang w:val="en-US"/>
        </w:rPr>
        <w:t xml:space="preserve"> (Page et al., 2021). Both grey literature and scientific sources were incorporated to achieve a comprehensive and current understanding. International agencies, including the International Energy Agency (IEA) and the International Air Transport Association (IATA), were regarded as credible as academic articles, significantly contributing to the techno-economic data foundation. Search queries were tailored to target key concepts and relevant information, with a focus on identifying </w:t>
      </w:r>
      <w:r w:rsidR="00DC07F0" w:rsidRPr="00670221">
        <w:rPr>
          <w:lang w:val="en-US"/>
        </w:rPr>
        <w:t>different technologies</w:t>
      </w:r>
      <w:r w:rsidRPr="00670221">
        <w:rPr>
          <w:lang w:val="en-US"/>
        </w:rPr>
        <w:t>.</w:t>
      </w:r>
      <w:r w:rsidR="00CE21B0" w:rsidRPr="00670221">
        <w:rPr>
          <w:lang w:val="en-US"/>
        </w:rPr>
        <w:t xml:space="preserve"> </w:t>
      </w:r>
      <w:r w:rsidRPr="00670221">
        <w:rPr>
          <w:lang w:val="en-US"/>
        </w:rPr>
        <w:t>The literature review predominantly includes articles published after 2021 to ensure alignment with current developments. Older sources were selectively included through snowballing, with rigorous vetting to ensure their relevance to the research objectives.</w:t>
      </w:r>
    </w:p>
    <w:p w14:paraId="3DA3A9B5" w14:textId="4C5E1392" w:rsidR="00F364F8" w:rsidRPr="00670221" w:rsidRDefault="00C41E4F" w:rsidP="00076CDB">
      <w:pPr>
        <w:rPr>
          <w:lang w:val="en-US"/>
        </w:rPr>
      </w:pPr>
      <w:r w:rsidRPr="00670221">
        <w:rPr>
          <w:lang w:val="en-US"/>
        </w:rPr>
        <w:t xml:space="preserve">The quantitative data gathered from the literature review formed the basis for the techno-economic analysis in this research. Key metrics such as cost estimates, efficiency rates, and production capacities were extracted from the reviewed articles. These figures were then used to develop models assessing the economic feasibility of various SAF </w:t>
      </w:r>
      <w:r w:rsidR="007624E7" w:rsidRPr="00670221">
        <w:rPr>
          <w:lang w:val="en-US"/>
        </w:rPr>
        <w:t>technological pathways.</w:t>
      </w:r>
      <w:r w:rsidRPr="00670221">
        <w:rPr>
          <w:lang w:val="en-US"/>
        </w:rPr>
        <w:t xml:space="preserve"> Data related to </w:t>
      </w:r>
      <w:r w:rsidR="007624E7" w:rsidRPr="00670221">
        <w:rPr>
          <w:lang w:val="en-US"/>
        </w:rPr>
        <w:t>d</w:t>
      </w:r>
      <w:r w:rsidRPr="00670221">
        <w:rPr>
          <w:lang w:val="en-US"/>
        </w:rPr>
        <w:t xml:space="preserve">irect </w:t>
      </w:r>
      <w:r w:rsidR="007624E7" w:rsidRPr="00670221">
        <w:rPr>
          <w:lang w:val="en-US"/>
        </w:rPr>
        <w:t>a</w:t>
      </w:r>
      <w:r w:rsidRPr="00670221">
        <w:rPr>
          <w:lang w:val="en-US"/>
        </w:rPr>
        <w:t xml:space="preserve">ir </w:t>
      </w:r>
      <w:r w:rsidR="007624E7" w:rsidRPr="00670221">
        <w:rPr>
          <w:lang w:val="en-US"/>
        </w:rPr>
        <w:t>c</w:t>
      </w:r>
      <w:r w:rsidRPr="00670221">
        <w:rPr>
          <w:lang w:val="en-US"/>
        </w:rPr>
        <w:t xml:space="preserve">apture were provided by the internship provider, Skytree, ensuring up-to-date information from the industry. Price and capacity data were sourced from both previous and current product iterations, while </w:t>
      </w:r>
      <w:r w:rsidR="0004239A" w:rsidRPr="00670221">
        <w:rPr>
          <w:lang w:val="en-US"/>
        </w:rPr>
        <w:t xml:space="preserve">future </w:t>
      </w:r>
      <w:r w:rsidRPr="00670221">
        <w:rPr>
          <w:lang w:val="en-US"/>
        </w:rPr>
        <w:t xml:space="preserve">projections were co-developed with </w:t>
      </w:r>
      <w:proofErr w:type="spellStart"/>
      <w:r w:rsidRPr="00670221">
        <w:rPr>
          <w:lang w:val="en-US"/>
        </w:rPr>
        <w:t>Purolite</w:t>
      </w:r>
      <w:proofErr w:type="spellEnd"/>
      <w:r w:rsidRPr="00670221">
        <w:rPr>
          <w:lang w:val="en-US"/>
        </w:rPr>
        <w:t>, Skytree's sorbent provider</w:t>
      </w:r>
      <w:r w:rsidR="0004239A" w:rsidRPr="00670221">
        <w:rPr>
          <w:lang w:val="en-US"/>
        </w:rPr>
        <w:t xml:space="preserve"> (</w:t>
      </w:r>
      <w:proofErr w:type="spellStart"/>
      <w:r w:rsidR="0004239A" w:rsidRPr="00670221">
        <w:rPr>
          <w:lang w:val="en-US"/>
        </w:rPr>
        <w:t>Purolite</w:t>
      </w:r>
      <w:proofErr w:type="spellEnd"/>
      <w:r w:rsidR="0004239A" w:rsidRPr="00670221">
        <w:rPr>
          <w:lang w:val="en-US"/>
        </w:rPr>
        <w:t>, 2024)</w:t>
      </w:r>
      <w:r w:rsidRPr="00670221">
        <w:rPr>
          <w:lang w:val="en-US"/>
        </w:rPr>
        <w:t xml:space="preserve">. </w:t>
      </w:r>
      <w:proofErr w:type="spellStart"/>
      <w:r w:rsidRPr="00670221">
        <w:rPr>
          <w:lang w:val="en-US"/>
        </w:rPr>
        <w:t>Purolite</w:t>
      </w:r>
      <w:proofErr w:type="spellEnd"/>
      <w:r w:rsidRPr="00670221">
        <w:rPr>
          <w:lang w:val="en-US"/>
        </w:rPr>
        <w:t xml:space="preserve">, an Ecolab company and global leader in sorbent development, </w:t>
      </w:r>
      <w:r w:rsidR="00A138E3" w:rsidRPr="00670221">
        <w:rPr>
          <w:lang w:val="en-US"/>
        </w:rPr>
        <w:t xml:space="preserve">helped set </w:t>
      </w:r>
      <w:r w:rsidR="007E06C8" w:rsidRPr="00670221">
        <w:rPr>
          <w:lang w:val="en-US"/>
        </w:rPr>
        <w:t>future sorbent generation upgrade</w:t>
      </w:r>
      <w:r w:rsidR="00A138E3" w:rsidRPr="00670221">
        <w:rPr>
          <w:lang w:val="en-US"/>
        </w:rPr>
        <w:t xml:space="preserve"> </w:t>
      </w:r>
      <w:r w:rsidR="004B71FF" w:rsidRPr="00670221">
        <w:rPr>
          <w:lang w:val="en-US"/>
        </w:rPr>
        <w:t>performance levels until 2028</w:t>
      </w:r>
      <w:r w:rsidR="0004239A" w:rsidRPr="00670221">
        <w:rPr>
          <w:lang w:val="en-US"/>
        </w:rPr>
        <w:t xml:space="preserve">. </w:t>
      </w:r>
      <w:r w:rsidRPr="00670221">
        <w:rPr>
          <w:lang w:val="en-US"/>
        </w:rPr>
        <w:t>All data can be accessed in the supplementary model, with additional details available upon request.</w:t>
      </w:r>
      <w:r w:rsidR="0061290D" w:rsidRPr="00670221">
        <w:rPr>
          <w:lang w:val="en-US"/>
        </w:rPr>
        <w:t xml:space="preserve"> </w:t>
      </w:r>
      <w:r w:rsidR="009948DE" w:rsidRPr="00670221">
        <w:rPr>
          <w:lang w:val="en-US"/>
        </w:rPr>
        <w:t>D</w:t>
      </w:r>
      <w:r w:rsidR="00F364F8" w:rsidRPr="00670221">
        <w:rPr>
          <w:lang w:val="en-US"/>
        </w:rPr>
        <w:t xml:space="preserve">ata on co-electrolysis were sourced from Sunfire, one of the only commercially available co-electrolysis technologies, making it a critical reference for understanding the efficiency and cost dynamics of hydrogen production combined with CO₂ utilization </w:t>
      </w:r>
      <w:r w:rsidR="000B2C68" w:rsidRPr="00670221">
        <w:rPr>
          <w:lang w:val="en-US"/>
        </w:rPr>
        <w:t xml:space="preserve">(Choe et al., 2022; Sunfire GmbH, 2023). </w:t>
      </w:r>
      <w:r w:rsidR="00F364F8" w:rsidRPr="00670221">
        <w:rPr>
          <w:lang w:val="en-US"/>
        </w:rPr>
        <w:t xml:space="preserve"> This data-driven approach ensured that the TEA was grounded in credible and up-to-date quantitative insights, providing a solid foundation for evaluating the cost-effectiveness of different SAF </w:t>
      </w:r>
      <w:r w:rsidR="00F44022" w:rsidRPr="00670221">
        <w:rPr>
          <w:lang w:val="en-US"/>
        </w:rPr>
        <w:t>technologies</w:t>
      </w:r>
      <w:r w:rsidR="007403A2" w:rsidRPr="00670221">
        <w:rPr>
          <w:lang w:val="en-US"/>
        </w:rPr>
        <w:t xml:space="preserve">. </w:t>
      </w:r>
    </w:p>
    <w:p w14:paraId="1D019452" w14:textId="77777777" w:rsidR="00CF156F" w:rsidRPr="00670221" w:rsidRDefault="00CF156F" w:rsidP="00076CDB">
      <w:pPr>
        <w:rPr>
          <w:lang w:val="en-US"/>
        </w:rPr>
      </w:pPr>
    </w:p>
    <w:p w14:paraId="450C0780" w14:textId="6B8D3ECF" w:rsidR="00597BA6" w:rsidRPr="00670221" w:rsidRDefault="00597BA6" w:rsidP="00597BA6">
      <w:pPr>
        <w:pStyle w:val="Heading2"/>
      </w:pPr>
      <w:bookmarkStart w:id="33" w:name="_Toc184403421"/>
      <w:r w:rsidRPr="00670221">
        <w:t>Socio-</w:t>
      </w:r>
      <w:r w:rsidR="00DA3577" w:rsidRPr="00670221">
        <w:t>T</w:t>
      </w:r>
      <w:r w:rsidRPr="00670221">
        <w:t>echnical Analysis</w:t>
      </w:r>
      <w:bookmarkEnd w:id="33"/>
    </w:p>
    <w:p w14:paraId="0FF78DF6" w14:textId="26B73F19" w:rsidR="00191093" w:rsidRPr="00670221" w:rsidRDefault="00191093" w:rsidP="00C70210">
      <w:pPr>
        <w:rPr>
          <w:lang w:val="en-US"/>
        </w:rPr>
      </w:pPr>
      <w:r w:rsidRPr="00670221">
        <w:rPr>
          <w:lang w:val="en-US"/>
        </w:rPr>
        <w:t xml:space="preserve">A socio-technical analysis was conducted, guided by the Technological Innovation System framework developed by </w:t>
      </w:r>
      <w:proofErr w:type="spellStart"/>
      <w:r w:rsidRPr="00670221">
        <w:rPr>
          <w:lang w:val="en-US"/>
        </w:rPr>
        <w:t>Hekkert</w:t>
      </w:r>
      <w:proofErr w:type="spellEnd"/>
      <w:r w:rsidRPr="00670221">
        <w:rPr>
          <w:lang w:val="en-US"/>
        </w:rPr>
        <w:t xml:space="preserve"> et al. (2007), focusing on the first step of the structural analysis, as shown in the figure below (</w:t>
      </w:r>
      <w:proofErr w:type="spellStart"/>
      <w:r w:rsidRPr="00670221">
        <w:rPr>
          <w:lang w:val="en-US"/>
        </w:rPr>
        <w:t>Hekkert</w:t>
      </w:r>
      <w:proofErr w:type="spellEnd"/>
      <w:r w:rsidRPr="00670221">
        <w:rPr>
          <w:lang w:val="en-US"/>
        </w:rPr>
        <w:t xml:space="preserve"> et al., 2011). </w:t>
      </w:r>
    </w:p>
    <w:p w14:paraId="5C116FB2" w14:textId="77777777" w:rsidR="005A6DF4" w:rsidRPr="00670221" w:rsidRDefault="005A6DF4" w:rsidP="005A6DF4">
      <w:pPr>
        <w:keepNext/>
        <w:jc w:val="center"/>
        <w:rPr>
          <w:lang w:val="en-US"/>
        </w:rPr>
      </w:pPr>
      <w:r w:rsidRPr="00670221">
        <w:rPr>
          <w:lang w:val="en-US"/>
        </w:rPr>
        <w:lastRenderedPageBreak/>
        <w:fldChar w:fldCharType="begin"/>
      </w:r>
      <w:r w:rsidRPr="00670221">
        <w:rPr>
          <w:lang w:val="en-US"/>
        </w:rPr>
        <w:instrText xml:space="preserve"> INCLUDEPICTURE "https://d3i71xaburhd42.cloudfront.net/68e1abecbbe0da073c7e63d95dbb750f5d910024/4-Figure1-1.png" \* MERGEFORMATINET </w:instrText>
      </w:r>
      <w:r w:rsidRPr="00670221">
        <w:rPr>
          <w:lang w:val="en-US"/>
        </w:rPr>
        <w:fldChar w:fldCharType="separate"/>
      </w:r>
      <w:r w:rsidRPr="00670221">
        <w:rPr>
          <w:noProof/>
          <w:lang w:val="en-US"/>
        </w:rPr>
        <w:drawing>
          <wp:inline distT="0" distB="0" distL="0" distR="0" wp14:anchorId="51FFC4A5" wp14:editId="5C27C6CE">
            <wp:extent cx="2203553" cy="2463800"/>
            <wp:effectExtent l="0" t="0" r="6350" b="0"/>
            <wp:docPr id="2034206237" name="Picture 6" descr="A diagram of steps and fun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1793" name="Picture 6" descr="A diagram of steps and function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5237" cy="2510407"/>
                    </a:xfrm>
                    <a:prstGeom prst="rect">
                      <a:avLst/>
                    </a:prstGeom>
                    <a:noFill/>
                    <a:ln>
                      <a:noFill/>
                    </a:ln>
                  </pic:spPr>
                </pic:pic>
              </a:graphicData>
            </a:graphic>
          </wp:inline>
        </w:drawing>
      </w:r>
      <w:r w:rsidRPr="00670221">
        <w:rPr>
          <w:lang w:val="en-US"/>
        </w:rPr>
        <w:fldChar w:fldCharType="end"/>
      </w:r>
    </w:p>
    <w:p w14:paraId="2504F142" w14:textId="3E1BB190" w:rsidR="005A6DF4" w:rsidRPr="00670221" w:rsidRDefault="005A6DF4" w:rsidP="00235356">
      <w:pPr>
        <w:pStyle w:val="Caption"/>
        <w:rPr>
          <w:lang w:val="en-US"/>
        </w:rPr>
      </w:pPr>
      <w:bookmarkStart w:id="34" w:name="_Toc184403543"/>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2</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2</w:t>
      </w:r>
      <w:r w:rsidR="002A3EA2" w:rsidRPr="00670221">
        <w:rPr>
          <w:lang w:val="en-US"/>
        </w:rPr>
        <w:fldChar w:fldCharType="end"/>
      </w:r>
      <w:r w:rsidRPr="00670221">
        <w:rPr>
          <w:lang w:val="en-US"/>
        </w:rPr>
        <w:t>: Schematic representation of the 5 steps in analyzing a technological innovation system for policy analysis (</w:t>
      </w:r>
      <w:proofErr w:type="spellStart"/>
      <w:r w:rsidRPr="00670221">
        <w:rPr>
          <w:lang w:val="en-US"/>
        </w:rPr>
        <w:t>Hekkert</w:t>
      </w:r>
      <w:proofErr w:type="spellEnd"/>
      <w:r w:rsidRPr="00670221">
        <w:rPr>
          <w:lang w:val="en-US"/>
        </w:rPr>
        <w:t xml:space="preserve"> et al., 2011)</w:t>
      </w:r>
      <w:bookmarkEnd w:id="34"/>
    </w:p>
    <w:p w14:paraId="62197DB1" w14:textId="1DC90767" w:rsidR="00477960" w:rsidRPr="00670221" w:rsidRDefault="00A13674" w:rsidP="00477960">
      <w:pPr>
        <w:rPr>
          <w:lang w:val="en-US"/>
        </w:rPr>
      </w:pPr>
      <w:r w:rsidRPr="00670221">
        <w:rPr>
          <w:lang w:val="en-US"/>
        </w:rPr>
        <w:t xml:space="preserve">This framework provided </w:t>
      </w:r>
      <w:r w:rsidR="00477960" w:rsidRPr="00670221">
        <w:rPr>
          <w:lang w:val="en-US"/>
        </w:rPr>
        <w:t>the conceptual structure for addressing the first sub-question</w:t>
      </w:r>
      <w:r w:rsidR="009A3010" w:rsidRPr="00670221">
        <w:rPr>
          <w:lang w:val="en-US"/>
        </w:rPr>
        <w:t xml:space="preserve">: </w:t>
      </w:r>
      <w:r w:rsidR="00697574" w:rsidRPr="00697574">
        <w:rPr>
          <w:b/>
          <w:bCs/>
          <w:lang w:val="en-US"/>
        </w:rPr>
        <w:t>Which sustainable aviation fuel (SAF) technologies are promising for short-term viability in the EU, considering the current socio-technical system?</w:t>
      </w:r>
      <w:r w:rsidR="00697574">
        <w:rPr>
          <w:b/>
          <w:bCs/>
          <w:lang w:val="en-US"/>
        </w:rPr>
        <w:t xml:space="preserve"> </w:t>
      </w:r>
      <w:r w:rsidR="00477960" w:rsidRPr="00670221">
        <w:rPr>
          <w:lang w:val="en-US"/>
        </w:rPr>
        <w:t>As a framework, TIS is particularly well-suited for analyzing complex innovation systems, such as the emerging SAF sector within the EU, by highlighting the interactions between key components that drive innovation (</w:t>
      </w:r>
      <w:proofErr w:type="spellStart"/>
      <w:r w:rsidR="00477960" w:rsidRPr="00670221">
        <w:rPr>
          <w:lang w:val="en-US"/>
        </w:rPr>
        <w:t>Hekkert</w:t>
      </w:r>
      <w:proofErr w:type="spellEnd"/>
      <w:r w:rsidR="00477960" w:rsidRPr="00670221">
        <w:rPr>
          <w:lang w:val="en-US"/>
        </w:rPr>
        <w:t xml:space="preserve"> et al., 2007; </w:t>
      </w:r>
      <w:proofErr w:type="spellStart"/>
      <w:r w:rsidR="00477960" w:rsidRPr="00670221">
        <w:rPr>
          <w:lang w:val="en-US"/>
        </w:rPr>
        <w:t>Bergek</w:t>
      </w:r>
      <w:proofErr w:type="spellEnd"/>
      <w:r w:rsidR="00477960" w:rsidRPr="00670221">
        <w:rPr>
          <w:lang w:val="en-US"/>
        </w:rPr>
        <w:t xml:space="preserve"> et al., 2008).</w:t>
      </w:r>
      <w:r w:rsidR="00887B12" w:rsidRPr="00670221">
        <w:rPr>
          <w:lang w:val="en-US"/>
        </w:rPr>
        <w:t xml:space="preserve"> The primary components of the TIS framework—technologies, actors, institutions, and networks—guide the socio-technical analysis, ensuring that both technical and non-technical factors are thoroughly explored.</w:t>
      </w:r>
    </w:p>
    <w:p w14:paraId="3B594DCA" w14:textId="77777777" w:rsidR="00710709" w:rsidRPr="00670221" w:rsidRDefault="00710709" w:rsidP="00710709">
      <w:pPr>
        <w:keepNext/>
        <w:jc w:val="center"/>
        <w:rPr>
          <w:lang w:val="en-US"/>
        </w:rPr>
      </w:pPr>
      <w:r w:rsidRPr="00670221">
        <w:rPr>
          <w:noProof/>
          <w:lang w:val="en-US"/>
        </w:rPr>
        <w:drawing>
          <wp:inline distT="0" distB="0" distL="0" distR="0" wp14:anchorId="596CFE98" wp14:editId="456FF957">
            <wp:extent cx="4191000" cy="3695700"/>
            <wp:effectExtent l="0" t="0" r="0" b="0"/>
            <wp:docPr id="55834460"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24186" name="Picture 1" descr="A diagram of a computer system&#10;&#10;Description automatically generated"/>
                    <pic:cNvPicPr/>
                  </pic:nvPicPr>
                  <pic:blipFill>
                    <a:blip r:embed="rId26"/>
                    <a:stretch>
                      <a:fillRect/>
                    </a:stretch>
                  </pic:blipFill>
                  <pic:spPr>
                    <a:xfrm>
                      <a:off x="0" y="0"/>
                      <a:ext cx="4191000" cy="3695700"/>
                    </a:xfrm>
                    <a:prstGeom prst="rect">
                      <a:avLst/>
                    </a:prstGeom>
                  </pic:spPr>
                </pic:pic>
              </a:graphicData>
            </a:graphic>
          </wp:inline>
        </w:drawing>
      </w:r>
    </w:p>
    <w:p w14:paraId="6C0A124D" w14:textId="4EA82389" w:rsidR="00710709" w:rsidRPr="00670221" w:rsidRDefault="00710709" w:rsidP="00710709">
      <w:pPr>
        <w:pStyle w:val="Caption"/>
        <w:rPr>
          <w:lang w:val="en-US"/>
        </w:rPr>
      </w:pPr>
      <w:bookmarkStart w:id="35" w:name="_Toc184403544"/>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2</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3</w:t>
      </w:r>
      <w:r w:rsidR="002A3EA2" w:rsidRPr="00670221">
        <w:rPr>
          <w:lang w:val="en-US"/>
        </w:rPr>
        <w:fldChar w:fldCharType="end"/>
      </w:r>
      <w:r w:rsidRPr="00670221">
        <w:rPr>
          <w:lang w:val="en-US"/>
        </w:rPr>
        <w:t>: Socio-technical Analysis</w:t>
      </w:r>
      <w:bookmarkEnd w:id="35"/>
    </w:p>
    <w:p w14:paraId="1456D104" w14:textId="581D37DF" w:rsidR="009A3010" w:rsidRPr="00670221" w:rsidRDefault="00A85656" w:rsidP="00477960">
      <w:pPr>
        <w:rPr>
          <w:lang w:val="en-US"/>
        </w:rPr>
      </w:pPr>
      <w:r w:rsidRPr="00670221">
        <w:rPr>
          <w:lang w:val="en-US"/>
        </w:rPr>
        <w:lastRenderedPageBreak/>
        <w:t>Answering sub question 1</w:t>
      </w:r>
      <w:r w:rsidR="009A3010" w:rsidRPr="00670221">
        <w:rPr>
          <w:lang w:val="en-US"/>
        </w:rPr>
        <w:t xml:space="preserve"> follows a multi-step approach, beginning with a literature review to identify the various technologies for SAF</w:t>
      </w:r>
      <w:r w:rsidR="00572288" w:rsidRPr="00670221">
        <w:rPr>
          <w:lang w:val="en-US"/>
        </w:rPr>
        <w:t>, as can be seen at the top of figure 2.3</w:t>
      </w:r>
      <w:r w:rsidR="009A3010" w:rsidRPr="00670221">
        <w:rPr>
          <w:lang w:val="en-US"/>
        </w:rPr>
        <w:t>. This review allowed the breakdown of technologies into individual components (e.g., hydrogen production methods, fuel synthesis pathways), which are crucial for later analysis.</w:t>
      </w:r>
      <w:r w:rsidR="00732EEC" w:rsidRPr="00670221">
        <w:rPr>
          <w:lang w:val="en-US"/>
        </w:rPr>
        <w:t xml:space="preserve"> </w:t>
      </w:r>
      <w:r w:rsidR="009A3010" w:rsidRPr="00670221">
        <w:rPr>
          <w:lang w:val="en-US"/>
        </w:rPr>
        <w:t xml:space="preserve">These components were not immediately evaluated but were </w:t>
      </w:r>
      <w:r w:rsidR="002157C1" w:rsidRPr="00670221">
        <w:rPr>
          <w:lang w:val="en-US"/>
        </w:rPr>
        <w:t>mapped</w:t>
      </w:r>
      <w:r w:rsidR="009A3010" w:rsidRPr="00670221">
        <w:rPr>
          <w:lang w:val="en-US"/>
        </w:rPr>
        <w:t xml:space="preserve"> to provide the basis for actor identification and criteria formulation.</w:t>
      </w:r>
    </w:p>
    <w:p w14:paraId="6B04370F" w14:textId="05B7FC0C" w:rsidR="009A3010" w:rsidRPr="00670221" w:rsidRDefault="009A3010" w:rsidP="00477960">
      <w:pPr>
        <w:rPr>
          <w:lang w:val="en-US"/>
        </w:rPr>
      </w:pPr>
      <w:r w:rsidRPr="00670221">
        <w:rPr>
          <w:lang w:val="en-US"/>
        </w:rPr>
        <w:t>The actor analysis was guided by the technological components identified in the literature review and the TIS actor framework</w:t>
      </w:r>
      <w:r w:rsidR="0025379F" w:rsidRPr="00670221">
        <w:rPr>
          <w:lang w:val="en-US"/>
        </w:rPr>
        <w:t xml:space="preserve"> shown in figure 2.4</w:t>
      </w:r>
      <w:r w:rsidRPr="00670221">
        <w:rPr>
          <w:lang w:val="en-US"/>
        </w:rPr>
        <w:t>. Each technological component corresponds to specific actor roles (e.g., energy and energy supplier), ensuring that all relevant stakeholders are included. Defining these actors also allowed for the identification of regulatory bodies, which informed the subsequent institutional analysis. The actor analysis further contributed to understanding the system’s structure and the needs of each actor, which are essential for setting technical and non-technical criteria.</w:t>
      </w:r>
    </w:p>
    <w:p w14:paraId="3B049D5D" w14:textId="7F541331" w:rsidR="009A3010" w:rsidRPr="00670221" w:rsidRDefault="009A3010" w:rsidP="00477960">
      <w:pPr>
        <w:rPr>
          <w:lang w:val="en-US"/>
        </w:rPr>
      </w:pPr>
      <w:r w:rsidRPr="00670221">
        <w:rPr>
          <w:lang w:val="en-US"/>
        </w:rPr>
        <w:t>The institutional analysis focused on identifying the formal rules, policies, and regulations that govern the SAF innovation system. Although it did not evaluate the technologies directly, it highlighted key policy frameworks and regulatory hurdles, contributing to the formulation of criteria related to policy alignment and regulatory feasibility.</w:t>
      </w:r>
    </w:p>
    <w:p w14:paraId="537BA34C" w14:textId="00B73F91" w:rsidR="009A3010" w:rsidRPr="00670221" w:rsidRDefault="009A3010" w:rsidP="00477960">
      <w:pPr>
        <w:rPr>
          <w:lang w:val="en-US"/>
        </w:rPr>
      </w:pPr>
      <w:r w:rsidRPr="00670221">
        <w:rPr>
          <w:lang w:val="en-US"/>
        </w:rPr>
        <w:t xml:space="preserve">Once the technical, social, and political aspects were mapped, the networks supporting the system were examined. </w:t>
      </w:r>
      <w:r w:rsidR="00785F95" w:rsidRPr="00670221">
        <w:rPr>
          <w:lang w:val="en-US"/>
        </w:rPr>
        <w:t xml:space="preserve">Together with the </w:t>
      </w:r>
      <w:r w:rsidR="00530322" w:rsidRPr="00670221">
        <w:rPr>
          <w:lang w:val="en-US"/>
        </w:rPr>
        <w:t xml:space="preserve">problem statement, </w:t>
      </w:r>
      <w:r w:rsidR="009C2E59" w:rsidRPr="00670221">
        <w:rPr>
          <w:lang w:val="en-US"/>
        </w:rPr>
        <w:t>technology</w:t>
      </w:r>
      <w:r w:rsidR="00537C67" w:rsidRPr="00670221">
        <w:rPr>
          <w:lang w:val="en-US"/>
        </w:rPr>
        <w:t>-</w:t>
      </w:r>
      <w:r w:rsidR="009C2E59" w:rsidRPr="00670221">
        <w:rPr>
          <w:lang w:val="en-US"/>
        </w:rPr>
        <w:t>, actor</w:t>
      </w:r>
      <w:r w:rsidR="00537C67" w:rsidRPr="00670221">
        <w:rPr>
          <w:lang w:val="en-US"/>
        </w:rPr>
        <w:t>-</w:t>
      </w:r>
      <w:r w:rsidR="009C2E59" w:rsidRPr="00670221">
        <w:rPr>
          <w:lang w:val="en-US"/>
        </w:rPr>
        <w:t xml:space="preserve"> and </w:t>
      </w:r>
      <w:r w:rsidR="00537C67" w:rsidRPr="00670221">
        <w:rPr>
          <w:lang w:val="en-US"/>
        </w:rPr>
        <w:t>policy analysis</w:t>
      </w:r>
      <w:r w:rsidR="00754870" w:rsidRPr="00670221">
        <w:rPr>
          <w:lang w:val="en-US"/>
        </w:rPr>
        <w:t xml:space="preserve">, </w:t>
      </w:r>
      <w:r w:rsidR="00DD4817" w:rsidRPr="00670221">
        <w:rPr>
          <w:lang w:val="en-US"/>
        </w:rPr>
        <w:t>i</w:t>
      </w:r>
      <w:r w:rsidRPr="00670221">
        <w:rPr>
          <w:lang w:val="en-US"/>
        </w:rPr>
        <w:t>nsights from this structural analysis informed the creation of a set of technical criteria to determine which technologies would be further investigated in the subsequent sub-question, as well as the non-technical criteria necessary for successful implementation.</w:t>
      </w:r>
    </w:p>
    <w:p w14:paraId="6F0DBFE3" w14:textId="55FFA27B" w:rsidR="00C2765A" w:rsidRPr="00670221" w:rsidRDefault="009A3010" w:rsidP="00C2765A">
      <w:pPr>
        <w:rPr>
          <w:lang w:val="en-US"/>
        </w:rPr>
      </w:pPr>
      <w:r w:rsidRPr="00670221">
        <w:rPr>
          <w:lang w:val="en-US"/>
        </w:rPr>
        <w:t xml:space="preserve">Technical criteria </w:t>
      </w:r>
      <w:r w:rsidR="00D345D3" w:rsidRPr="00670221">
        <w:rPr>
          <w:lang w:val="en-US"/>
        </w:rPr>
        <w:t>were</w:t>
      </w:r>
      <w:r w:rsidRPr="00670221">
        <w:rPr>
          <w:lang w:val="en-US"/>
        </w:rPr>
        <w:t xml:space="preserve"> applied to the specific technological components identified</w:t>
      </w:r>
      <w:r w:rsidR="004077DB" w:rsidRPr="00670221">
        <w:rPr>
          <w:lang w:val="en-US"/>
        </w:rPr>
        <w:t xml:space="preserve"> during the literature review</w:t>
      </w:r>
      <w:r w:rsidR="00BA44AA" w:rsidRPr="00670221">
        <w:rPr>
          <w:lang w:val="en-US"/>
        </w:rPr>
        <w:t>.  While some of these criteria, such as policy alignment, may appear non-technical, they are included in the technical evaluation because they reflect how well a specific technological component adheres</w:t>
      </w:r>
      <w:r w:rsidR="00DD4AFF" w:rsidRPr="00670221">
        <w:rPr>
          <w:lang w:val="en-US"/>
        </w:rPr>
        <w:t xml:space="preserve"> to the criteria. Each technology is </w:t>
      </w:r>
      <w:r w:rsidR="00BB1955" w:rsidRPr="00670221">
        <w:rPr>
          <w:lang w:val="en-US"/>
        </w:rPr>
        <w:t xml:space="preserve">then </w:t>
      </w:r>
      <w:r w:rsidR="00DD4AFF" w:rsidRPr="00670221">
        <w:rPr>
          <w:lang w:val="en-US"/>
        </w:rPr>
        <w:t xml:space="preserve">scored </w:t>
      </w:r>
      <w:r w:rsidR="00BB1955" w:rsidRPr="00670221">
        <w:rPr>
          <w:lang w:val="en-US"/>
        </w:rPr>
        <w:t xml:space="preserve">relative to its alternatives </w:t>
      </w:r>
      <w:r w:rsidR="00DD4AFF" w:rsidRPr="00670221">
        <w:rPr>
          <w:lang w:val="en-US"/>
        </w:rPr>
        <w:t xml:space="preserve">based on the technical criteria (with equal weighting for each criterion), and the most promising technologies for short-term implementation are identified. </w:t>
      </w:r>
      <w:r w:rsidR="00BB1955" w:rsidRPr="00670221">
        <w:rPr>
          <w:lang w:val="en-US"/>
        </w:rPr>
        <w:t xml:space="preserve">Meanwhile, non-technical criteria address broader socio-political factors needed for successful implementation. </w:t>
      </w:r>
    </w:p>
    <w:p w14:paraId="512A176A" w14:textId="1D0E32FF" w:rsidR="00F045C4" w:rsidRPr="00670221" w:rsidRDefault="00DC07F0" w:rsidP="00DC07F0">
      <w:pPr>
        <w:rPr>
          <w:lang w:val="en-US"/>
        </w:rPr>
      </w:pPr>
      <w:r w:rsidRPr="00670221">
        <w:rPr>
          <w:lang w:val="en-US"/>
        </w:rPr>
        <w:t>The purpose of this approach is to gain a</w:t>
      </w:r>
      <w:r w:rsidR="007B73E5" w:rsidRPr="00670221">
        <w:rPr>
          <w:lang w:val="en-US"/>
        </w:rPr>
        <w:t xml:space="preserve">n </w:t>
      </w:r>
      <w:r w:rsidRPr="00670221">
        <w:rPr>
          <w:lang w:val="en-US"/>
        </w:rPr>
        <w:t>understanding of the different technological pathways available for sustainable aviation fue</w:t>
      </w:r>
      <w:r w:rsidR="00451B28" w:rsidRPr="00670221">
        <w:rPr>
          <w:lang w:val="en-US"/>
        </w:rPr>
        <w:t>l</w:t>
      </w:r>
      <w:r w:rsidRPr="00670221">
        <w:rPr>
          <w:lang w:val="en-US"/>
        </w:rPr>
        <w:t xml:space="preserve"> production, as well as how these technologies interact with the broader socio-technical system within the EU. The approach allows us to define technical criteria to determine which technologies are suitable for further investigation in the subsequent techno-economic analysi</w:t>
      </w:r>
      <w:r w:rsidR="00451B28" w:rsidRPr="00670221">
        <w:rPr>
          <w:lang w:val="en-US"/>
        </w:rPr>
        <w:t>s</w:t>
      </w:r>
      <w:r w:rsidRPr="00670221">
        <w:rPr>
          <w:lang w:val="en-US"/>
        </w:rPr>
        <w:t>. Additionally, non-technical criteria—applicable to all technologies—are established to capture broader requirements that are essential for the successful near-term implementation of SAF technologies within the EU. These criteria ensure that the analysis not only considers technical feasibility but also addresses the critical regulatory and market factors required for successful deployment.</w:t>
      </w:r>
    </w:p>
    <w:p w14:paraId="25183C4A" w14:textId="5C689A87" w:rsidR="00B9748F" w:rsidRPr="00670221" w:rsidRDefault="00851B55" w:rsidP="00807430">
      <w:pPr>
        <w:pStyle w:val="Heading3"/>
      </w:pPr>
      <w:bookmarkStart w:id="36" w:name="_Toc184403422"/>
      <w:r w:rsidRPr="00670221">
        <w:t>Description of C</w:t>
      </w:r>
      <w:r w:rsidR="00A67B08" w:rsidRPr="00670221">
        <w:t>omponents</w:t>
      </w:r>
      <w:bookmarkEnd w:id="36"/>
    </w:p>
    <w:p w14:paraId="158DC674" w14:textId="0A157C70" w:rsidR="009D0059" w:rsidRPr="00670221" w:rsidRDefault="009D0059" w:rsidP="009D0059">
      <w:pPr>
        <w:rPr>
          <w:lang w:val="en-US"/>
        </w:rPr>
      </w:pPr>
      <w:r w:rsidRPr="00670221">
        <w:rPr>
          <w:lang w:val="en-US"/>
        </w:rPr>
        <w:t>In the structural analysis of the SAF Technological Innovation System</w:t>
      </w:r>
      <w:r w:rsidR="00F10BDC" w:rsidRPr="00670221">
        <w:rPr>
          <w:lang w:val="en-US"/>
        </w:rPr>
        <w:t xml:space="preserve">, </w:t>
      </w:r>
      <w:r w:rsidRPr="00670221">
        <w:rPr>
          <w:lang w:val="en-US"/>
        </w:rPr>
        <w:t>four key components are distinguished (</w:t>
      </w:r>
      <w:proofErr w:type="spellStart"/>
      <w:r w:rsidRPr="00670221">
        <w:rPr>
          <w:lang w:val="en-US"/>
        </w:rPr>
        <w:t>Hekkert</w:t>
      </w:r>
      <w:proofErr w:type="spellEnd"/>
      <w:r w:rsidRPr="00670221">
        <w:rPr>
          <w:lang w:val="en-US"/>
        </w:rPr>
        <w:t xml:space="preserve"> et al., 2011):</w:t>
      </w:r>
    </w:p>
    <w:p w14:paraId="5DDC0CD3" w14:textId="2BB33890" w:rsidR="00A67B08" w:rsidRPr="00670221" w:rsidRDefault="00A67B08" w:rsidP="00807430">
      <w:pPr>
        <w:pStyle w:val="Heading4"/>
        <w:rPr>
          <w:lang w:val="en-US"/>
        </w:rPr>
      </w:pPr>
      <w:r w:rsidRPr="00670221">
        <w:rPr>
          <w:lang w:val="en-US"/>
        </w:rPr>
        <w:lastRenderedPageBreak/>
        <w:t>Actor</w:t>
      </w:r>
      <w:r w:rsidR="00851B55" w:rsidRPr="00670221">
        <w:rPr>
          <w:lang w:val="en-US"/>
        </w:rPr>
        <w:t>s</w:t>
      </w:r>
    </w:p>
    <w:p w14:paraId="668F3ABB" w14:textId="70EEDE16" w:rsidR="009D0059" w:rsidRPr="00670221" w:rsidRDefault="001E74FE" w:rsidP="00B9748F">
      <w:pPr>
        <w:rPr>
          <w:lang w:val="en-US"/>
        </w:rPr>
      </w:pPr>
      <w:r w:rsidRPr="00670221">
        <w:rPr>
          <w:lang w:val="en-US"/>
        </w:rPr>
        <w:t>Organizations that drive the development, adoption, regulation, and financing of SAF technologies. These include knowledge institutes, industry players, market actors, and government bodies</w:t>
      </w:r>
      <w:r w:rsidR="009D0059" w:rsidRPr="00670221">
        <w:rPr>
          <w:lang w:val="en-US"/>
        </w:rPr>
        <w:t>.</w:t>
      </w:r>
    </w:p>
    <w:p w14:paraId="4D081D40" w14:textId="65407768" w:rsidR="00A67B08" w:rsidRPr="00670221" w:rsidRDefault="00851B55" w:rsidP="00A67B08">
      <w:pPr>
        <w:pStyle w:val="Heading4"/>
        <w:rPr>
          <w:rFonts w:asciiTheme="minorHAnsi" w:eastAsiaTheme="minorHAnsi" w:hAnsiTheme="minorHAnsi" w:cstheme="minorBidi"/>
          <w:i w:val="0"/>
          <w:iCs w:val="0"/>
          <w:color w:val="auto"/>
          <w:lang w:val="en-US"/>
        </w:rPr>
      </w:pPr>
      <w:r w:rsidRPr="00670221">
        <w:rPr>
          <w:lang w:val="en-US"/>
        </w:rPr>
        <w:t>Institutions</w:t>
      </w:r>
    </w:p>
    <w:p w14:paraId="02A796CF" w14:textId="4E367E94" w:rsidR="009D0059" w:rsidRPr="00670221" w:rsidRDefault="001E74FE" w:rsidP="009D0059">
      <w:pPr>
        <w:rPr>
          <w:lang w:val="en-US"/>
        </w:rPr>
      </w:pPr>
      <w:r w:rsidRPr="00670221">
        <w:rPr>
          <w:lang w:val="en-US"/>
        </w:rPr>
        <w:t xml:space="preserve">The formal rules and informal norms that guide actor behavior within the SAF </w:t>
      </w:r>
      <w:r w:rsidR="009D6FD4" w:rsidRPr="00670221">
        <w:rPr>
          <w:lang w:val="en-US"/>
        </w:rPr>
        <w:t>ecosystem</w:t>
      </w:r>
      <w:r w:rsidRPr="00670221">
        <w:rPr>
          <w:lang w:val="en-US"/>
        </w:rPr>
        <w:t>. Formal institutions include EU policies, while informal ones encompass cultural norms. This analysis focuses on formal institutions due to their direct impact</w:t>
      </w:r>
      <w:r w:rsidR="009D0059" w:rsidRPr="00670221">
        <w:rPr>
          <w:lang w:val="en-US"/>
        </w:rPr>
        <w:t>.</w:t>
      </w:r>
    </w:p>
    <w:p w14:paraId="27C1ACCA" w14:textId="6A6A0821" w:rsidR="00A67B08" w:rsidRPr="00670221" w:rsidRDefault="00A67B08" w:rsidP="00A67B08">
      <w:pPr>
        <w:pStyle w:val="Heading4"/>
        <w:rPr>
          <w:lang w:val="en-US"/>
        </w:rPr>
      </w:pPr>
      <w:r w:rsidRPr="00670221">
        <w:rPr>
          <w:lang w:val="en-US"/>
        </w:rPr>
        <w:t>Network</w:t>
      </w:r>
      <w:r w:rsidR="00851B55" w:rsidRPr="00670221">
        <w:rPr>
          <w:lang w:val="en-US"/>
        </w:rPr>
        <w:t>s</w:t>
      </w:r>
    </w:p>
    <w:p w14:paraId="21A2AAFB" w14:textId="60E9C935" w:rsidR="009D0059" w:rsidRPr="00670221" w:rsidRDefault="009D0059" w:rsidP="00B9748F">
      <w:pPr>
        <w:rPr>
          <w:lang w:val="en-US"/>
        </w:rPr>
      </w:pPr>
      <w:r w:rsidRPr="00670221">
        <w:rPr>
          <w:lang w:val="en-US"/>
        </w:rPr>
        <w:t xml:space="preserve">Networks consist of the relationships and interactions </w:t>
      </w:r>
      <w:r w:rsidR="001E74FE" w:rsidRPr="00670221">
        <w:rPr>
          <w:lang w:val="en-US"/>
        </w:rPr>
        <w:t xml:space="preserve">among actors, </w:t>
      </w:r>
      <w:r w:rsidRPr="00670221">
        <w:rPr>
          <w:lang w:val="en-US"/>
        </w:rPr>
        <w:t>facilitat</w:t>
      </w:r>
      <w:r w:rsidR="001E74FE" w:rsidRPr="00670221">
        <w:rPr>
          <w:lang w:val="en-US"/>
        </w:rPr>
        <w:t>ing</w:t>
      </w:r>
      <w:r w:rsidRPr="00670221">
        <w:rPr>
          <w:lang w:val="en-US"/>
        </w:rPr>
        <w:t xml:space="preserve"> the exchange of knowledge, resources, and technologies. Understanding the geographical scope of these networks is essential; they may be localized within Europe or have a global reach, influencing the spread and adoption of SAF technologies.</w:t>
      </w:r>
    </w:p>
    <w:p w14:paraId="11E5BCFA" w14:textId="0B436506" w:rsidR="00807430" w:rsidRPr="00670221" w:rsidRDefault="00A67B08" w:rsidP="00807430">
      <w:pPr>
        <w:pStyle w:val="Heading4"/>
        <w:rPr>
          <w:lang w:val="en-US"/>
        </w:rPr>
      </w:pPr>
      <w:r w:rsidRPr="00670221">
        <w:rPr>
          <w:lang w:val="en-US"/>
        </w:rPr>
        <w:t>Technologi</w:t>
      </w:r>
      <w:r w:rsidR="00851B55" w:rsidRPr="00670221">
        <w:rPr>
          <w:lang w:val="en-US"/>
        </w:rPr>
        <w:t>es</w:t>
      </w:r>
    </w:p>
    <w:p w14:paraId="5BCDAF6D" w14:textId="51066BEA" w:rsidR="00807430" w:rsidRPr="00670221" w:rsidRDefault="009D0059" w:rsidP="00807430">
      <w:pPr>
        <w:rPr>
          <w:lang w:val="en-US"/>
        </w:rPr>
      </w:pPr>
      <w:r w:rsidRPr="00670221">
        <w:rPr>
          <w:lang w:val="en-US"/>
        </w:rPr>
        <w:t xml:space="preserve">Technological structures encompass the physical artifacts, such as machinery and infrastructure, necessary for SAF production, as well as the technological systems in which they operate. </w:t>
      </w:r>
      <w:r w:rsidR="00807430" w:rsidRPr="00670221">
        <w:rPr>
          <w:lang w:val="en-US"/>
        </w:rPr>
        <w:t>The technological analysis emphasized the various approaches to synthetic sustainable aviation fuel production within the European context. It highlighted the most relevant production methods and underlying technologies.</w:t>
      </w:r>
    </w:p>
    <w:p w14:paraId="23349673" w14:textId="06CF86C1" w:rsidR="00BE2428" w:rsidRPr="00670221" w:rsidRDefault="00BE2428" w:rsidP="00BE2428">
      <w:pPr>
        <w:rPr>
          <w:lang w:val="en-US"/>
        </w:rPr>
      </w:pPr>
      <w:r w:rsidRPr="00670221">
        <w:rPr>
          <w:lang w:val="en-US"/>
        </w:rPr>
        <w:t xml:space="preserve">Figure </w:t>
      </w:r>
      <w:r w:rsidR="006D6DEE" w:rsidRPr="00670221">
        <w:rPr>
          <w:lang w:val="en-US"/>
        </w:rPr>
        <w:t>2</w:t>
      </w:r>
      <w:r w:rsidRPr="00670221">
        <w:rPr>
          <w:lang w:val="en-US"/>
        </w:rPr>
        <w:t>.</w:t>
      </w:r>
      <w:r w:rsidR="006D6DEE" w:rsidRPr="00670221">
        <w:rPr>
          <w:lang w:val="en-US"/>
        </w:rPr>
        <w:t>4</w:t>
      </w:r>
      <w:r w:rsidRPr="00670221">
        <w:rPr>
          <w:lang w:val="en-US"/>
        </w:rPr>
        <w:t xml:space="preserve"> gives an overview of the actors and institutions involved in the development and adoption of technology, though their interactions within networks were not represented in this figure.</w:t>
      </w:r>
    </w:p>
    <w:p w14:paraId="52210D29" w14:textId="77777777" w:rsidR="00BE2428" w:rsidRPr="00670221" w:rsidRDefault="00BE2428" w:rsidP="00BE2428">
      <w:pPr>
        <w:keepNext/>
        <w:jc w:val="center"/>
        <w:rPr>
          <w:lang w:val="en-US"/>
        </w:rPr>
      </w:pPr>
      <w:r w:rsidRPr="00670221">
        <w:rPr>
          <w:noProof/>
          <w:lang w:val="en-US"/>
        </w:rPr>
        <w:drawing>
          <wp:inline distT="0" distB="0" distL="0" distR="0" wp14:anchorId="5A63410B" wp14:editId="2CC32142">
            <wp:extent cx="5567296" cy="3356515"/>
            <wp:effectExtent l="0" t="0" r="0" b="0"/>
            <wp:docPr id="474468881" name="Picture 8" descr="A diagram of a company's supp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8881" name="Picture 8" descr="A diagram of a company's supply&#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43649" cy="3462838"/>
                    </a:xfrm>
                    <a:prstGeom prst="rect">
                      <a:avLst/>
                    </a:prstGeom>
                  </pic:spPr>
                </pic:pic>
              </a:graphicData>
            </a:graphic>
          </wp:inline>
        </w:drawing>
      </w:r>
    </w:p>
    <w:p w14:paraId="5902C598" w14:textId="6F7D3C91" w:rsidR="00BE2428" w:rsidRPr="00670221" w:rsidRDefault="00BE2428" w:rsidP="00BE2428">
      <w:pPr>
        <w:pStyle w:val="Caption"/>
        <w:rPr>
          <w:lang w:val="en-US"/>
        </w:rPr>
      </w:pPr>
      <w:bookmarkStart w:id="37" w:name="_Toc184403545"/>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2</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4</w:t>
      </w:r>
      <w:r w:rsidR="002A3EA2" w:rsidRPr="00670221">
        <w:rPr>
          <w:lang w:val="en-US"/>
        </w:rPr>
        <w:fldChar w:fldCharType="end"/>
      </w:r>
      <w:r w:rsidRPr="00670221">
        <w:rPr>
          <w:lang w:val="en-US"/>
        </w:rPr>
        <w:t xml:space="preserve">: </w:t>
      </w:r>
      <w:r w:rsidR="00840B5A" w:rsidRPr="00670221">
        <w:rPr>
          <w:lang w:val="en-US"/>
        </w:rPr>
        <w:t>Actors within the Technology</w:t>
      </w:r>
      <w:r w:rsidRPr="00670221">
        <w:rPr>
          <w:lang w:val="en-US"/>
        </w:rPr>
        <w:t xml:space="preserve"> Innovation System (</w:t>
      </w:r>
      <w:proofErr w:type="spellStart"/>
      <w:r w:rsidRPr="00670221">
        <w:rPr>
          <w:lang w:val="en-US"/>
        </w:rPr>
        <w:t>Hekkert</w:t>
      </w:r>
      <w:proofErr w:type="spellEnd"/>
      <w:r w:rsidRPr="00670221">
        <w:rPr>
          <w:lang w:val="en-US"/>
        </w:rPr>
        <w:t xml:space="preserve"> et al., 2011)</w:t>
      </w:r>
      <w:bookmarkEnd w:id="37"/>
    </w:p>
    <w:p w14:paraId="38EACB1E" w14:textId="77777777" w:rsidR="00454FF6" w:rsidRPr="00670221" w:rsidRDefault="00454FF6" w:rsidP="00454FF6">
      <w:pPr>
        <w:rPr>
          <w:lang w:val="en-US"/>
        </w:rPr>
      </w:pPr>
    </w:p>
    <w:p w14:paraId="28EF585E" w14:textId="7A0E67FE" w:rsidR="00597BA6" w:rsidRPr="00670221" w:rsidRDefault="00597BA6" w:rsidP="00597BA6">
      <w:pPr>
        <w:pStyle w:val="Heading2"/>
      </w:pPr>
      <w:bookmarkStart w:id="38" w:name="_Toc184403423"/>
      <w:r w:rsidRPr="00670221">
        <w:lastRenderedPageBreak/>
        <w:t>Tech</w:t>
      </w:r>
      <w:r w:rsidR="00CF156F" w:rsidRPr="00670221">
        <w:t>n</w:t>
      </w:r>
      <w:r w:rsidRPr="00670221">
        <w:t>o-</w:t>
      </w:r>
      <w:r w:rsidR="00DA3577" w:rsidRPr="00670221">
        <w:t>E</w:t>
      </w:r>
      <w:r w:rsidRPr="00670221">
        <w:t>conomic Analysis</w:t>
      </w:r>
      <w:bookmarkEnd w:id="38"/>
    </w:p>
    <w:p w14:paraId="0B9FC990" w14:textId="7A805C87" w:rsidR="00C42CE0" w:rsidRPr="00670221" w:rsidRDefault="001C10D3" w:rsidP="001C10D3">
      <w:pPr>
        <w:rPr>
          <w:lang w:val="en-US"/>
        </w:rPr>
      </w:pPr>
      <w:r w:rsidRPr="00670221">
        <w:rPr>
          <w:lang w:val="en-US"/>
        </w:rPr>
        <w:t>To assess the competitiveness of the SAF technologies identified in the preceding socio-technical analysis against fossil jet fuel, a techno-economic analysis was conducted. This structured approach included developing a detailed spreadsheet model in Excel to calculate and compare the levelized costs of jet fuel using real-time industry and market data.</w:t>
      </w:r>
    </w:p>
    <w:p w14:paraId="10F887C9" w14:textId="77777777" w:rsidR="00A2501C" w:rsidRPr="00670221" w:rsidRDefault="00A2501C" w:rsidP="00A2501C">
      <w:pPr>
        <w:keepNext/>
        <w:jc w:val="center"/>
        <w:rPr>
          <w:lang w:val="en-US"/>
        </w:rPr>
      </w:pPr>
      <w:r w:rsidRPr="00670221">
        <w:rPr>
          <w:noProof/>
          <w:lang w:val="en-US"/>
        </w:rPr>
        <w:drawing>
          <wp:inline distT="0" distB="0" distL="0" distR="0" wp14:anchorId="22447E73" wp14:editId="7EBA10E3">
            <wp:extent cx="3071616" cy="2417010"/>
            <wp:effectExtent l="0" t="0" r="1905" b="0"/>
            <wp:docPr id="1957394449" name="Picture 10"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94449" name="Picture 10" descr="A diagram of a proces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71299" cy="2495449"/>
                    </a:xfrm>
                    <a:prstGeom prst="rect">
                      <a:avLst/>
                    </a:prstGeom>
                  </pic:spPr>
                </pic:pic>
              </a:graphicData>
            </a:graphic>
          </wp:inline>
        </w:drawing>
      </w:r>
    </w:p>
    <w:p w14:paraId="37753D75" w14:textId="1C3A8457" w:rsidR="00602A78" w:rsidRPr="00670221" w:rsidRDefault="00A2501C" w:rsidP="00235356">
      <w:pPr>
        <w:pStyle w:val="Caption"/>
        <w:rPr>
          <w:lang w:val="en-US"/>
        </w:rPr>
      </w:pPr>
      <w:bookmarkStart w:id="39" w:name="_Toc184403546"/>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2</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5</w:t>
      </w:r>
      <w:r w:rsidR="002A3EA2" w:rsidRPr="00670221">
        <w:rPr>
          <w:lang w:val="en-US"/>
        </w:rPr>
        <w:fldChar w:fldCharType="end"/>
      </w:r>
      <w:r w:rsidRPr="00670221">
        <w:rPr>
          <w:lang w:val="en-US"/>
        </w:rPr>
        <w:t>: Phases of Techno-economic Assessment (Zimmerman et al., 2020)</w:t>
      </w:r>
      <w:bookmarkEnd w:id="39"/>
    </w:p>
    <w:p w14:paraId="5C92DE93" w14:textId="48AE5F10" w:rsidR="00155BF6" w:rsidRPr="00670221" w:rsidRDefault="00155BF6" w:rsidP="00155BF6">
      <w:pPr>
        <w:rPr>
          <w:lang w:val="en-US"/>
        </w:rPr>
      </w:pPr>
      <w:r w:rsidRPr="00670221">
        <w:rPr>
          <w:lang w:val="en-US"/>
        </w:rPr>
        <w:t xml:space="preserve">The "Phases of Techno-Economic Assessment" outlined </w:t>
      </w:r>
      <w:r w:rsidR="00C56037" w:rsidRPr="00670221">
        <w:rPr>
          <w:lang w:val="en-US"/>
        </w:rPr>
        <w:t xml:space="preserve">by </w:t>
      </w:r>
      <w:r w:rsidR="00A2501C" w:rsidRPr="00670221">
        <w:rPr>
          <w:lang w:val="en-US"/>
        </w:rPr>
        <w:t>Zimmerman et al. (2020)</w:t>
      </w:r>
      <w:r w:rsidR="00602A78" w:rsidRPr="00670221">
        <w:rPr>
          <w:lang w:val="en-US"/>
        </w:rPr>
        <w:t xml:space="preserve"> and illustrated in f</w:t>
      </w:r>
      <w:r w:rsidRPr="00670221">
        <w:rPr>
          <w:lang w:val="en-US"/>
        </w:rPr>
        <w:t>igure</w:t>
      </w:r>
      <w:r w:rsidR="00602A78" w:rsidRPr="00670221">
        <w:rPr>
          <w:lang w:val="en-US"/>
        </w:rPr>
        <w:t xml:space="preserve"> </w:t>
      </w:r>
      <w:r w:rsidR="00D815E0" w:rsidRPr="00670221">
        <w:rPr>
          <w:lang w:val="en-US"/>
        </w:rPr>
        <w:t>2</w:t>
      </w:r>
      <w:r w:rsidR="00602A78" w:rsidRPr="00670221">
        <w:rPr>
          <w:lang w:val="en-US"/>
        </w:rPr>
        <w:t>.</w:t>
      </w:r>
      <w:r w:rsidR="00D815E0" w:rsidRPr="00670221">
        <w:rPr>
          <w:lang w:val="en-US"/>
        </w:rPr>
        <w:t>5</w:t>
      </w:r>
      <w:r w:rsidRPr="00670221">
        <w:rPr>
          <w:lang w:val="en-US"/>
        </w:rPr>
        <w:t xml:space="preserve"> provide a structured approach for evaluating the technical and economic performance of </w:t>
      </w:r>
      <w:r w:rsidR="00F63FEF">
        <w:rPr>
          <w:lang w:val="en-US"/>
        </w:rPr>
        <w:t>c</w:t>
      </w:r>
      <w:r w:rsidR="00602A78" w:rsidRPr="00670221">
        <w:rPr>
          <w:lang w:val="en-US"/>
        </w:rPr>
        <w:t xml:space="preserve">arbon </w:t>
      </w:r>
      <w:r w:rsidR="00F63FEF">
        <w:rPr>
          <w:lang w:val="en-US"/>
        </w:rPr>
        <w:t>c</w:t>
      </w:r>
      <w:r w:rsidR="00602A78" w:rsidRPr="00670221">
        <w:rPr>
          <w:lang w:val="en-US"/>
        </w:rPr>
        <w:t xml:space="preserve">apture and </w:t>
      </w:r>
      <w:r w:rsidR="00F63FEF">
        <w:rPr>
          <w:lang w:val="en-US"/>
        </w:rPr>
        <w:t>u</w:t>
      </w:r>
      <w:r w:rsidR="00602A78" w:rsidRPr="00670221">
        <w:rPr>
          <w:lang w:val="en-US"/>
        </w:rPr>
        <w:t xml:space="preserve">tilization </w:t>
      </w:r>
      <w:r w:rsidRPr="00670221">
        <w:rPr>
          <w:lang w:val="en-US"/>
        </w:rPr>
        <w:t xml:space="preserve">technologies. These phases </w:t>
      </w:r>
      <w:r w:rsidR="00715DC5" w:rsidRPr="00670221">
        <w:rPr>
          <w:lang w:val="en-US"/>
        </w:rPr>
        <w:t>were</w:t>
      </w:r>
      <w:r w:rsidRPr="00670221">
        <w:rPr>
          <w:lang w:val="en-US"/>
        </w:rPr>
        <w:t xml:space="preserve"> directly applicable to </w:t>
      </w:r>
      <w:r w:rsidR="00C56037" w:rsidRPr="00670221">
        <w:rPr>
          <w:lang w:val="en-US"/>
        </w:rPr>
        <w:t>this thesis</w:t>
      </w:r>
      <w:r w:rsidRPr="00670221">
        <w:rPr>
          <w:lang w:val="en-US"/>
        </w:rPr>
        <w:t xml:space="preserve"> on sustainable aviation fuels.</w:t>
      </w:r>
    </w:p>
    <w:p w14:paraId="286AD8DC" w14:textId="324EDC63" w:rsidR="00C42CE0" w:rsidRPr="00670221" w:rsidRDefault="00C42CE0" w:rsidP="00C42CE0">
      <w:pPr>
        <w:rPr>
          <w:lang w:val="en-US"/>
        </w:rPr>
      </w:pPr>
      <w:r w:rsidRPr="00670221">
        <w:rPr>
          <w:lang w:val="en-US"/>
        </w:rPr>
        <w:t xml:space="preserve">For sub-question 2, </w:t>
      </w:r>
      <w:r w:rsidRPr="00670221">
        <w:rPr>
          <w:b/>
          <w:bCs/>
          <w:lang w:val="en-US"/>
        </w:rPr>
        <w:t xml:space="preserve">How do the identified technologies perform in their overall </w:t>
      </w:r>
      <w:proofErr w:type="gramStart"/>
      <w:r w:rsidRPr="00670221">
        <w:rPr>
          <w:b/>
          <w:bCs/>
          <w:lang w:val="en-US"/>
        </w:rPr>
        <w:t>costs?</w:t>
      </w:r>
      <w:r w:rsidRPr="00670221">
        <w:rPr>
          <w:lang w:val="en-US"/>
        </w:rPr>
        <w:t>,</w:t>
      </w:r>
      <w:proofErr w:type="gramEnd"/>
      <w:r w:rsidRPr="00670221">
        <w:rPr>
          <w:lang w:val="en-US"/>
        </w:rPr>
        <w:t xml:space="preserve"> the levelized cost analysis assessed the overall techno-economic feasibility of each </w:t>
      </w:r>
      <w:r w:rsidR="00A27AD7" w:rsidRPr="00670221">
        <w:rPr>
          <w:lang w:val="en-US"/>
        </w:rPr>
        <w:t>S</w:t>
      </w:r>
      <w:r w:rsidRPr="00670221">
        <w:rPr>
          <w:lang w:val="en-US"/>
        </w:rPr>
        <w:t>AF technology. The levelized cost of fuel (LCOF) was determined by summing the levelized costs of each component required for SAF production, multiplied by the quantity needed per liter of SAF, facilitating a direct cost comparison across technologies.</w:t>
      </w:r>
    </w:p>
    <w:p w14:paraId="260E2A5E" w14:textId="7553859D" w:rsidR="00C42CE0" w:rsidRPr="00670221" w:rsidRDefault="00C42CE0" w:rsidP="00C42CE0">
      <w:pPr>
        <w:rPr>
          <w:lang w:val="en-US"/>
        </w:rPr>
      </w:pPr>
      <w:r w:rsidRPr="00670221">
        <w:rPr>
          <w:lang w:val="en-US"/>
        </w:rPr>
        <w:t xml:space="preserve">For sub-question 3, </w:t>
      </w:r>
      <w:r w:rsidRPr="00670221">
        <w:rPr>
          <w:b/>
          <w:bCs/>
          <w:lang w:val="en-US"/>
        </w:rPr>
        <w:t xml:space="preserve">What are the key cost drivers within the identified SAF technology, and how do these components evolve over </w:t>
      </w:r>
      <w:proofErr w:type="gramStart"/>
      <w:r w:rsidRPr="00670221">
        <w:rPr>
          <w:b/>
          <w:bCs/>
          <w:lang w:val="en-US"/>
        </w:rPr>
        <w:t>time?</w:t>
      </w:r>
      <w:r w:rsidRPr="00670221">
        <w:rPr>
          <w:lang w:val="en-US"/>
        </w:rPr>
        <w:t>,</w:t>
      </w:r>
      <w:proofErr w:type="gramEnd"/>
      <w:r w:rsidRPr="00670221">
        <w:rPr>
          <w:lang w:val="en-US"/>
        </w:rPr>
        <w:t xml:space="preserve"> the analysis transitions from an overall cost comparison to an in-depth examination of specific cost components impacting techno-economic performance. Cost breakdowns of the researched technologies are compared at three time points—2024, 2035, and 2050—requiring estimates of cost evolution over time. Additionally, costs are normalized per technology to visualize shifts in cost structure, highlighting which components are expected to decrease as technologies mature and efficiencies improve.</w:t>
      </w:r>
    </w:p>
    <w:p w14:paraId="7C09752A" w14:textId="74216770" w:rsidR="00A07D48" w:rsidRPr="00670221" w:rsidRDefault="00C42CE0" w:rsidP="00155BF6">
      <w:pPr>
        <w:rPr>
          <w:lang w:val="en-US"/>
        </w:rPr>
      </w:pPr>
      <w:r w:rsidRPr="00670221">
        <w:rPr>
          <w:lang w:val="en-US"/>
        </w:rPr>
        <w:t xml:space="preserve">A concluding sensitivity analysis varies key assumptions and economic parameters to gauge their influence on total costs, identifying the cost drivers most critical to the economic viability of SAF </w:t>
      </w:r>
      <w:r w:rsidR="00FC2493" w:rsidRPr="00670221">
        <w:rPr>
          <w:lang w:val="en-US"/>
        </w:rPr>
        <w:t>technologies</w:t>
      </w:r>
      <w:r w:rsidRPr="00670221">
        <w:rPr>
          <w:lang w:val="en-US"/>
        </w:rPr>
        <w:t>.</w:t>
      </w:r>
    </w:p>
    <w:p w14:paraId="64637874" w14:textId="46604F99" w:rsidR="00602A78" w:rsidRPr="00670221" w:rsidRDefault="00602A78" w:rsidP="001501AA">
      <w:pPr>
        <w:pStyle w:val="Heading3"/>
      </w:pPr>
      <w:bookmarkStart w:id="40" w:name="_Toc184403424"/>
      <w:r w:rsidRPr="00670221">
        <w:t>Goal and Scope Definition</w:t>
      </w:r>
      <w:bookmarkEnd w:id="40"/>
    </w:p>
    <w:p w14:paraId="49C45025" w14:textId="6CA6F911" w:rsidR="00B9748F" w:rsidRPr="00670221" w:rsidRDefault="00715DC5" w:rsidP="00B9748F">
      <w:pPr>
        <w:rPr>
          <w:lang w:val="en-US"/>
        </w:rPr>
      </w:pPr>
      <w:r w:rsidRPr="00670221">
        <w:rPr>
          <w:lang w:val="en-US"/>
        </w:rPr>
        <w:t xml:space="preserve">This phase involved establishing the objectives, system boundaries, and key questions for the TEA study. The problem statement highlighted the urgency of making short-term investment decisions in </w:t>
      </w:r>
      <w:r w:rsidR="000F519D" w:rsidRPr="00670221">
        <w:rPr>
          <w:lang w:val="en-US"/>
        </w:rPr>
        <w:t>S</w:t>
      </w:r>
      <w:r w:rsidRPr="00670221">
        <w:rPr>
          <w:lang w:val="en-US"/>
        </w:rPr>
        <w:t xml:space="preserve">AF adoption, which defined the overall goal of the study. This urgency required </w:t>
      </w:r>
      <w:r w:rsidRPr="00670221">
        <w:rPr>
          <w:lang w:val="en-US"/>
        </w:rPr>
        <w:lastRenderedPageBreak/>
        <w:t xml:space="preserve">a clear, quantifiable method for assessing the economic viability of these </w:t>
      </w:r>
      <w:r w:rsidR="000F519D" w:rsidRPr="00670221">
        <w:rPr>
          <w:lang w:val="en-US"/>
        </w:rPr>
        <w:t>technologies</w:t>
      </w:r>
      <w:r w:rsidRPr="00670221">
        <w:rPr>
          <w:lang w:val="en-US"/>
        </w:rPr>
        <w:t xml:space="preserve">, leading to the selection of a </w:t>
      </w:r>
      <w:r w:rsidR="00E068A5" w:rsidRPr="00670221">
        <w:rPr>
          <w:lang w:val="en-US"/>
        </w:rPr>
        <w:t>l</w:t>
      </w:r>
      <w:r w:rsidRPr="00670221">
        <w:rPr>
          <w:lang w:val="en-US"/>
        </w:rPr>
        <w:t xml:space="preserve">evelized </w:t>
      </w:r>
      <w:r w:rsidR="00E068A5" w:rsidRPr="00670221">
        <w:rPr>
          <w:lang w:val="en-US"/>
        </w:rPr>
        <w:t>c</w:t>
      </w:r>
      <w:r w:rsidRPr="00670221">
        <w:rPr>
          <w:lang w:val="en-US"/>
        </w:rPr>
        <w:t xml:space="preserve">ost </w:t>
      </w:r>
      <w:r w:rsidR="00E068A5" w:rsidRPr="00670221">
        <w:rPr>
          <w:lang w:val="en-US"/>
        </w:rPr>
        <w:t>a</w:t>
      </w:r>
      <w:r w:rsidRPr="00670221">
        <w:rPr>
          <w:lang w:val="en-US"/>
        </w:rPr>
        <w:t>nalysis</w:t>
      </w:r>
      <w:r w:rsidR="005E3CC4" w:rsidRPr="00670221">
        <w:rPr>
          <w:lang w:val="en-US"/>
        </w:rPr>
        <w:t xml:space="preserve"> (LCA)</w:t>
      </w:r>
      <w:r w:rsidRPr="00670221">
        <w:rPr>
          <w:lang w:val="en-US"/>
        </w:rPr>
        <w:t xml:space="preserve">. The socio-technical analysis conducted for Sub-question 1 helped define the scope, providing the necessary context and boundaries for the TEA. The LCA was chosen for its systematic approach to comparing the costs of various </w:t>
      </w:r>
      <w:r w:rsidR="001C3482">
        <w:rPr>
          <w:lang w:val="en-US"/>
        </w:rPr>
        <w:t xml:space="preserve">SAF </w:t>
      </w:r>
      <w:r w:rsidRPr="00670221">
        <w:rPr>
          <w:lang w:val="en-US"/>
        </w:rPr>
        <w:t>production methods over their lifecycles, supporting the goal of making informed, data-driven investment decisions.</w:t>
      </w:r>
    </w:p>
    <w:p w14:paraId="780ADCDF" w14:textId="77777777" w:rsidR="00A07D48" w:rsidRPr="00670221" w:rsidRDefault="00A07D48" w:rsidP="00B9748F">
      <w:pPr>
        <w:rPr>
          <w:lang w:val="en-US"/>
        </w:rPr>
      </w:pPr>
    </w:p>
    <w:p w14:paraId="58B8AB30" w14:textId="0591E9D5" w:rsidR="00602A78" w:rsidRPr="00670221" w:rsidRDefault="00602A78" w:rsidP="001501AA">
      <w:pPr>
        <w:pStyle w:val="Heading3"/>
      </w:pPr>
      <w:bookmarkStart w:id="41" w:name="_Toc184403425"/>
      <w:r w:rsidRPr="00670221">
        <w:t>Inventory</w:t>
      </w:r>
      <w:bookmarkEnd w:id="41"/>
    </w:p>
    <w:p w14:paraId="643CA4FA" w14:textId="420BA8BE" w:rsidR="00B9748F" w:rsidRPr="00670221" w:rsidRDefault="00715DC5" w:rsidP="00B9748F">
      <w:pPr>
        <w:rPr>
          <w:lang w:val="en-US"/>
        </w:rPr>
      </w:pPr>
      <w:r w:rsidRPr="00670221">
        <w:rPr>
          <w:lang w:val="en-US"/>
        </w:rPr>
        <w:t xml:space="preserve">This phase focused on gathering technical and economic data, including inputs, energy requirements, and costs. As </w:t>
      </w:r>
      <w:proofErr w:type="spellStart"/>
      <w:r w:rsidRPr="00670221">
        <w:rPr>
          <w:lang w:val="en-US"/>
        </w:rPr>
        <w:t>decribed</w:t>
      </w:r>
      <w:proofErr w:type="spellEnd"/>
      <w:r w:rsidRPr="00670221">
        <w:rPr>
          <w:lang w:val="en-US"/>
        </w:rPr>
        <w:t xml:space="preserve"> in section </w:t>
      </w:r>
      <w:r w:rsidR="003D0655" w:rsidRPr="00670221">
        <w:rPr>
          <w:lang w:val="en-US"/>
        </w:rPr>
        <w:t>2</w:t>
      </w:r>
      <w:r w:rsidRPr="00670221">
        <w:rPr>
          <w:lang w:val="en-US"/>
        </w:rPr>
        <w:t>.2, Data Collection, the data was sourced from the two literature reviews conducted earlier in this study, supplemented with market data, DAC data provided by the internship partner Skytree, and additional targeted (grey) literature searches when necessary to fill any gaps.</w:t>
      </w:r>
    </w:p>
    <w:p w14:paraId="2471A272" w14:textId="77777777" w:rsidR="00A07D48" w:rsidRPr="00670221" w:rsidRDefault="00A07D48" w:rsidP="00B9748F">
      <w:pPr>
        <w:rPr>
          <w:lang w:val="en-US"/>
        </w:rPr>
      </w:pPr>
    </w:p>
    <w:p w14:paraId="7BD30334" w14:textId="2F9C457C" w:rsidR="00EB41CC" w:rsidRPr="00670221" w:rsidRDefault="00602A78" w:rsidP="00B9748F">
      <w:pPr>
        <w:pStyle w:val="Heading3"/>
      </w:pPr>
      <w:bookmarkStart w:id="42" w:name="_Toc184403426"/>
      <w:r w:rsidRPr="00670221">
        <w:t>Calculation of Indicators</w:t>
      </w:r>
      <w:bookmarkEnd w:id="42"/>
    </w:p>
    <w:p w14:paraId="452B23BF" w14:textId="76AB5575" w:rsidR="00B9748F" w:rsidRPr="00670221" w:rsidRDefault="00534ED8" w:rsidP="00B9748F">
      <w:pPr>
        <w:rPr>
          <w:lang w:val="en-US"/>
        </w:rPr>
      </w:pPr>
      <w:r w:rsidRPr="00670221">
        <w:rPr>
          <w:lang w:val="en-US"/>
        </w:rPr>
        <w:t xml:space="preserve">The calculation of key indicators represents a crucial step in the </w:t>
      </w:r>
      <w:r w:rsidR="00E068A5" w:rsidRPr="00670221">
        <w:rPr>
          <w:lang w:val="en-US"/>
        </w:rPr>
        <w:t>t</w:t>
      </w:r>
      <w:r w:rsidRPr="00670221">
        <w:rPr>
          <w:lang w:val="en-US"/>
        </w:rPr>
        <w:t>echno-</w:t>
      </w:r>
      <w:r w:rsidR="00E068A5" w:rsidRPr="00670221">
        <w:rPr>
          <w:lang w:val="en-US"/>
        </w:rPr>
        <w:t>e</w:t>
      </w:r>
      <w:r w:rsidRPr="00670221">
        <w:rPr>
          <w:lang w:val="en-US"/>
        </w:rPr>
        <w:t xml:space="preserve">conomic </w:t>
      </w:r>
      <w:r w:rsidR="00E068A5" w:rsidRPr="00670221">
        <w:rPr>
          <w:lang w:val="en-US"/>
        </w:rPr>
        <w:t>a</w:t>
      </w:r>
      <w:r w:rsidRPr="00670221">
        <w:rPr>
          <w:lang w:val="en-US"/>
        </w:rPr>
        <w:t>nalysis</w:t>
      </w:r>
      <w:r w:rsidR="00A649D6" w:rsidRPr="00670221">
        <w:rPr>
          <w:lang w:val="en-US"/>
        </w:rPr>
        <w:t xml:space="preserve">, </w:t>
      </w:r>
      <w:r w:rsidRPr="00670221">
        <w:rPr>
          <w:lang w:val="en-US"/>
        </w:rPr>
        <w:t xml:space="preserve">with the primary goal of determining the </w:t>
      </w:r>
      <w:r w:rsidR="00E068A5" w:rsidRPr="00670221">
        <w:rPr>
          <w:lang w:val="en-US"/>
        </w:rPr>
        <w:t>l</w:t>
      </w:r>
      <w:r w:rsidRPr="00670221">
        <w:rPr>
          <w:lang w:val="en-US"/>
        </w:rPr>
        <w:t xml:space="preserve">evelized </w:t>
      </w:r>
      <w:r w:rsidR="00E068A5" w:rsidRPr="00670221">
        <w:rPr>
          <w:lang w:val="en-US"/>
        </w:rPr>
        <w:t>c</w:t>
      </w:r>
      <w:r w:rsidRPr="00670221">
        <w:rPr>
          <w:lang w:val="en-US"/>
        </w:rPr>
        <w:t xml:space="preserve">ost of </w:t>
      </w:r>
      <w:r w:rsidR="00E068A5" w:rsidRPr="00670221">
        <w:rPr>
          <w:lang w:val="en-US"/>
        </w:rPr>
        <w:t>f</w:t>
      </w:r>
      <w:r w:rsidRPr="00670221">
        <w:rPr>
          <w:lang w:val="en-US"/>
        </w:rPr>
        <w:t>uel for various SAF production methods. This process utilized Excel, supplemented by the Excel Solver add-on, to systematically process the collected data and perform detailed cost assessments.</w:t>
      </w:r>
    </w:p>
    <w:p w14:paraId="588F176A" w14:textId="58D4C984" w:rsidR="00D146F9" w:rsidRPr="00670221" w:rsidRDefault="00E068A5" w:rsidP="00D146F9">
      <w:pPr>
        <w:rPr>
          <w:lang w:val="en-US"/>
        </w:rPr>
      </w:pPr>
      <w:r w:rsidRPr="00670221">
        <w:rPr>
          <w:lang w:val="en-US"/>
        </w:rPr>
        <w:t>L</w:t>
      </w:r>
      <w:r w:rsidR="00D146F9" w:rsidRPr="00670221">
        <w:rPr>
          <w:lang w:val="en-US"/>
        </w:rPr>
        <w:t xml:space="preserve">evelized </w:t>
      </w:r>
      <w:r w:rsidRPr="00670221">
        <w:rPr>
          <w:lang w:val="en-US"/>
        </w:rPr>
        <w:t>c</w:t>
      </w:r>
      <w:r w:rsidR="00D146F9" w:rsidRPr="00670221">
        <w:rPr>
          <w:lang w:val="en-US"/>
        </w:rPr>
        <w:t xml:space="preserve">ost </w:t>
      </w:r>
      <w:r w:rsidRPr="00670221">
        <w:rPr>
          <w:lang w:val="en-US"/>
        </w:rPr>
        <w:t>a</w:t>
      </w:r>
      <w:r w:rsidR="00D146F9" w:rsidRPr="00670221">
        <w:rPr>
          <w:lang w:val="en-US"/>
        </w:rPr>
        <w:t xml:space="preserve">nalysis </w:t>
      </w:r>
      <w:r w:rsidR="00865151" w:rsidRPr="00670221">
        <w:rPr>
          <w:lang w:val="en-US"/>
        </w:rPr>
        <w:t>(LCA)</w:t>
      </w:r>
      <w:r w:rsidR="00D146F9" w:rsidRPr="00670221">
        <w:rPr>
          <w:lang w:val="en-US"/>
        </w:rPr>
        <w:t xml:space="preserve"> originated from the concept of the </w:t>
      </w:r>
      <w:r w:rsidRPr="00670221">
        <w:rPr>
          <w:lang w:val="en-US"/>
        </w:rPr>
        <w:t>l</w:t>
      </w:r>
      <w:r w:rsidR="00D146F9" w:rsidRPr="00670221">
        <w:rPr>
          <w:lang w:val="en-US"/>
        </w:rPr>
        <w:t xml:space="preserve">evelized </w:t>
      </w:r>
      <w:r w:rsidRPr="00670221">
        <w:rPr>
          <w:lang w:val="en-US"/>
        </w:rPr>
        <w:t>c</w:t>
      </w:r>
      <w:r w:rsidR="00D146F9" w:rsidRPr="00670221">
        <w:rPr>
          <w:lang w:val="en-US"/>
        </w:rPr>
        <w:t xml:space="preserve">ost of </w:t>
      </w:r>
      <w:r w:rsidRPr="00670221">
        <w:rPr>
          <w:lang w:val="en-US"/>
        </w:rPr>
        <w:t>e</w:t>
      </w:r>
      <w:r w:rsidR="00D146F9" w:rsidRPr="00670221">
        <w:rPr>
          <w:lang w:val="en-US"/>
        </w:rPr>
        <w:t xml:space="preserve">lectricity (LCOE) (Short et al., 1995) and has since become a widely accepted method for evaluating cost efficiency in energy production processes (Choe et al., 2022; </w:t>
      </w:r>
      <w:proofErr w:type="spellStart"/>
      <w:r w:rsidR="00D146F9" w:rsidRPr="00670221">
        <w:rPr>
          <w:lang w:val="en-US"/>
        </w:rPr>
        <w:t>D’Adamo</w:t>
      </w:r>
      <w:proofErr w:type="spellEnd"/>
      <w:r w:rsidR="00D146F9" w:rsidRPr="00670221">
        <w:rPr>
          <w:lang w:val="en-US"/>
        </w:rPr>
        <w:t xml:space="preserve">, 2024; </w:t>
      </w:r>
      <w:proofErr w:type="spellStart"/>
      <w:r w:rsidR="00D146F9" w:rsidRPr="00670221">
        <w:rPr>
          <w:lang w:val="en-US"/>
        </w:rPr>
        <w:t>Eyberg</w:t>
      </w:r>
      <w:proofErr w:type="spellEnd"/>
      <w:r w:rsidR="00D146F9" w:rsidRPr="00670221">
        <w:rPr>
          <w:lang w:val="en-US"/>
        </w:rPr>
        <w:t xml:space="preserve"> et al., 2024). Initially used for comparing electricity generation technologies, LCA has been adapted to assess the levelized cost of various energy carriers including hydrogen (Nguyen et al., 2019), methane (Salomone et al., 2019), methanol (Andika et al., 2018), and jet fuel. In SAF production, the </w:t>
      </w:r>
      <w:r w:rsidR="00756F73" w:rsidRPr="00670221">
        <w:rPr>
          <w:lang w:val="en-US"/>
        </w:rPr>
        <w:t>l</w:t>
      </w:r>
      <w:r w:rsidR="00D146F9" w:rsidRPr="00670221">
        <w:rPr>
          <w:lang w:val="en-US"/>
        </w:rPr>
        <w:t xml:space="preserve">evelized </w:t>
      </w:r>
      <w:r w:rsidR="00756F73" w:rsidRPr="00670221">
        <w:rPr>
          <w:lang w:val="en-US"/>
        </w:rPr>
        <w:t>c</w:t>
      </w:r>
      <w:r w:rsidR="00D146F9" w:rsidRPr="00670221">
        <w:rPr>
          <w:lang w:val="en-US"/>
        </w:rPr>
        <w:t xml:space="preserve">ost of </w:t>
      </w:r>
      <w:r w:rsidR="00756F73" w:rsidRPr="00670221">
        <w:rPr>
          <w:lang w:val="en-US"/>
        </w:rPr>
        <w:t>f</w:t>
      </w:r>
      <w:r w:rsidR="00D146F9" w:rsidRPr="00670221">
        <w:rPr>
          <w:lang w:val="en-US"/>
        </w:rPr>
        <w:t xml:space="preserve">uel, also known as the </w:t>
      </w:r>
      <w:r w:rsidR="00756F73" w:rsidRPr="00670221">
        <w:rPr>
          <w:lang w:val="en-US"/>
        </w:rPr>
        <w:t>m</w:t>
      </w:r>
      <w:r w:rsidR="00D146F9" w:rsidRPr="00670221">
        <w:rPr>
          <w:lang w:val="en-US"/>
        </w:rPr>
        <w:t xml:space="preserve">inimum </w:t>
      </w:r>
      <w:r w:rsidR="00756F73" w:rsidRPr="00670221">
        <w:rPr>
          <w:lang w:val="en-US"/>
        </w:rPr>
        <w:t>j</w:t>
      </w:r>
      <w:r w:rsidR="00D146F9" w:rsidRPr="00670221">
        <w:rPr>
          <w:lang w:val="en-US"/>
        </w:rPr>
        <w:t xml:space="preserve">et </w:t>
      </w:r>
      <w:r w:rsidR="00756F73" w:rsidRPr="00670221">
        <w:rPr>
          <w:lang w:val="en-US"/>
        </w:rPr>
        <w:t>f</w:t>
      </w:r>
      <w:r w:rsidR="00D146F9" w:rsidRPr="00670221">
        <w:rPr>
          <w:lang w:val="en-US"/>
        </w:rPr>
        <w:t xml:space="preserve">uel </w:t>
      </w:r>
      <w:r w:rsidR="00756F73" w:rsidRPr="00670221">
        <w:rPr>
          <w:lang w:val="en-US"/>
        </w:rPr>
        <w:t>s</w:t>
      </w:r>
      <w:r w:rsidR="00D146F9" w:rsidRPr="00670221">
        <w:rPr>
          <w:lang w:val="en-US"/>
        </w:rPr>
        <w:t xml:space="preserve">elling </w:t>
      </w:r>
      <w:r w:rsidR="00756F73" w:rsidRPr="00670221">
        <w:rPr>
          <w:lang w:val="en-US"/>
        </w:rPr>
        <w:t>p</w:t>
      </w:r>
      <w:r w:rsidR="00D146F9" w:rsidRPr="00670221">
        <w:rPr>
          <w:lang w:val="en-US"/>
        </w:rPr>
        <w:t>rice (MJSP), is used to determine the price at which the net present value (NPV) of the project is zero (Rojas-</w:t>
      </w:r>
      <w:proofErr w:type="spellStart"/>
      <w:r w:rsidR="00D146F9" w:rsidRPr="00670221">
        <w:rPr>
          <w:lang w:val="en-US"/>
        </w:rPr>
        <w:t>Michaga</w:t>
      </w:r>
      <w:proofErr w:type="spellEnd"/>
      <w:r w:rsidR="00D146F9" w:rsidRPr="00670221">
        <w:rPr>
          <w:lang w:val="en-US"/>
        </w:rPr>
        <w:t xml:space="preserve"> et al., 2023; Sherwin, 2021; Zang et al., 2021).</w:t>
      </w:r>
    </w:p>
    <w:p w14:paraId="5574E107" w14:textId="53473121" w:rsidR="00723F4B" w:rsidRPr="00670221" w:rsidRDefault="00D146F9" w:rsidP="00D146F9">
      <w:pPr>
        <w:rPr>
          <w:lang w:val="en-US"/>
        </w:rPr>
      </w:pPr>
      <w:r w:rsidRPr="00670221">
        <w:rPr>
          <w:lang w:val="en-US"/>
        </w:rPr>
        <w:t>LCA calculates the net discounted cost of production relative to the net discounted quantity of fuel produced over the plant’s lifetime. This metric provides a clear measure of cost efficiency by incorporating all expenditures throughout the project’s lifespan. Given the range of production methods for e</w:t>
      </w:r>
      <w:r w:rsidR="00F71BE8">
        <w:rPr>
          <w:lang w:val="en-US"/>
        </w:rPr>
        <w:t>-</w:t>
      </w:r>
      <w:r w:rsidRPr="00670221">
        <w:rPr>
          <w:lang w:val="en-US"/>
        </w:rPr>
        <w:t xml:space="preserve">fuels, LCOF is a critical financial metric for assessing economic viability. It enables a comparative analysis of different </w:t>
      </w:r>
      <w:r w:rsidR="00E92AC7" w:rsidRPr="00670221">
        <w:rPr>
          <w:lang w:val="en-US"/>
        </w:rPr>
        <w:t>technological pathways</w:t>
      </w:r>
      <w:r w:rsidRPr="00670221">
        <w:rPr>
          <w:lang w:val="en-US"/>
        </w:rPr>
        <w:t>, giving policymakers and investors a reliable foundation for making informed decisions (</w:t>
      </w:r>
      <w:proofErr w:type="spellStart"/>
      <w:r w:rsidRPr="00670221">
        <w:rPr>
          <w:lang w:val="en-US"/>
        </w:rPr>
        <w:t>Branker</w:t>
      </w:r>
      <w:proofErr w:type="spellEnd"/>
      <w:r w:rsidRPr="00670221">
        <w:rPr>
          <w:lang w:val="en-US"/>
        </w:rPr>
        <w:t xml:space="preserve"> et al., 2011).</w:t>
      </w:r>
    </w:p>
    <w:p w14:paraId="5475CC45" w14:textId="448354C9" w:rsidR="00696413" w:rsidRPr="00670221" w:rsidRDefault="00696413" w:rsidP="00696413">
      <w:pPr>
        <w:pStyle w:val="Heading4"/>
        <w:rPr>
          <w:lang w:val="en-US"/>
        </w:rPr>
      </w:pPr>
      <w:r w:rsidRPr="00670221">
        <w:rPr>
          <w:lang w:val="en-US"/>
        </w:rPr>
        <w:t>CAPEX Calculation</w:t>
      </w:r>
    </w:p>
    <w:p w14:paraId="1822E1BF" w14:textId="7643BFF7" w:rsidR="00E10678" w:rsidRPr="00670221" w:rsidRDefault="00B6457B" w:rsidP="00723F4B">
      <w:pPr>
        <w:rPr>
          <w:lang w:val="en-US"/>
        </w:rPr>
      </w:pPr>
      <w:r w:rsidRPr="00670221">
        <w:rPr>
          <w:lang w:val="en-US"/>
        </w:rPr>
        <w:t>The first step</w:t>
      </w:r>
      <w:r w:rsidR="00E10678" w:rsidRPr="00670221">
        <w:rPr>
          <w:lang w:val="en-US"/>
        </w:rPr>
        <w:t xml:space="preserve"> of the </w:t>
      </w:r>
      <w:r w:rsidR="00756F73" w:rsidRPr="00670221">
        <w:rPr>
          <w:lang w:val="en-US"/>
        </w:rPr>
        <w:t>l</w:t>
      </w:r>
      <w:r w:rsidR="00E10678" w:rsidRPr="00670221">
        <w:rPr>
          <w:lang w:val="en-US"/>
        </w:rPr>
        <w:t xml:space="preserve">evelized </w:t>
      </w:r>
      <w:r w:rsidR="00756F73" w:rsidRPr="00670221">
        <w:rPr>
          <w:lang w:val="en-US"/>
        </w:rPr>
        <w:t>c</w:t>
      </w:r>
      <w:r w:rsidR="00E10678" w:rsidRPr="00670221">
        <w:rPr>
          <w:lang w:val="en-US"/>
        </w:rPr>
        <w:t xml:space="preserve">ost </w:t>
      </w:r>
      <w:r w:rsidR="00756F73" w:rsidRPr="00670221">
        <w:rPr>
          <w:lang w:val="en-US"/>
        </w:rPr>
        <w:t>a</w:t>
      </w:r>
      <w:r w:rsidR="00E10678" w:rsidRPr="00670221">
        <w:rPr>
          <w:lang w:val="en-US"/>
        </w:rPr>
        <w:t>nalysis involves projecting future capital expenditures because it provides the foundation for estimating long-term costs of production. Accurate CAPEX projections are crucial for modeling how costs evolve over time, directly influencing the overall cost-effectiveness of emerging technologies like SAF</w:t>
      </w:r>
      <w:r w:rsidR="00486DB4" w:rsidRPr="00670221">
        <w:rPr>
          <w:lang w:val="en-US"/>
        </w:rPr>
        <w:t xml:space="preserve"> (</w:t>
      </w:r>
      <w:proofErr w:type="spellStart"/>
      <w:r w:rsidR="00486DB4" w:rsidRPr="00670221">
        <w:rPr>
          <w:lang w:val="en-US"/>
        </w:rPr>
        <w:t>Jamasb</w:t>
      </w:r>
      <w:proofErr w:type="spellEnd"/>
      <w:r w:rsidR="00486DB4" w:rsidRPr="00670221">
        <w:rPr>
          <w:lang w:val="en-US"/>
        </w:rPr>
        <w:t xml:space="preserve"> &amp; Kohler, 2007; McDonald &amp; </w:t>
      </w:r>
      <w:proofErr w:type="spellStart"/>
      <w:r w:rsidR="00486DB4" w:rsidRPr="00670221">
        <w:rPr>
          <w:lang w:val="en-US"/>
        </w:rPr>
        <w:t>Schrattenholzer</w:t>
      </w:r>
      <w:proofErr w:type="spellEnd"/>
      <w:r w:rsidR="00486DB4" w:rsidRPr="00670221">
        <w:rPr>
          <w:lang w:val="en-US"/>
        </w:rPr>
        <w:t>, 2001)</w:t>
      </w:r>
      <w:r w:rsidR="00E10678" w:rsidRPr="00670221">
        <w:rPr>
          <w:lang w:val="en-US"/>
        </w:rPr>
        <w:t>.</w:t>
      </w:r>
    </w:p>
    <w:p w14:paraId="427D1C1B" w14:textId="42001E32" w:rsidR="009168B8" w:rsidRPr="00670221" w:rsidRDefault="009168B8" w:rsidP="00723F4B">
      <w:pPr>
        <w:rPr>
          <w:lang w:val="en-US"/>
        </w:rPr>
      </w:pPr>
      <w:r w:rsidRPr="00670221">
        <w:rPr>
          <w:lang w:val="en-US"/>
        </w:rPr>
        <w:lastRenderedPageBreak/>
        <w:t>Rather than relying on a single learning or improvement rate, this thesis employs the shape parameter k, as introduced by Seymour et al. (2024). For each component, the shape parameter k in the empirically defined CAPEX degression curve C(t) is calculated using Excel Solver, ensuring that the projected cost for 2050 aligns with the average of all literature values for that year. While most literature tends to model future CAPEX using a specific learning or improvement rate, the advantage of using the shape parameter k is that it captures and averages the learning and improvement rates from various studies, offering a more comprehensive and balanced projection of cost reductions over time</w:t>
      </w:r>
      <w:r w:rsidR="00BD72DC" w:rsidRPr="00670221">
        <w:rPr>
          <w:lang w:val="en-US"/>
        </w:rPr>
        <w:t xml:space="preserve"> (</w:t>
      </w:r>
      <w:proofErr w:type="spellStart"/>
      <w:r w:rsidR="00BD72DC" w:rsidRPr="00670221">
        <w:rPr>
          <w:lang w:val="en-US"/>
        </w:rPr>
        <w:t>Dimartino</w:t>
      </w:r>
      <w:proofErr w:type="spellEnd"/>
      <w:r w:rsidR="00BD72DC" w:rsidRPr="00670221">
        <w:rPr>
          <w:lang w:val="en-US"/>
        </w:rPr>
        <w:t>, 2023)</w:t>
      </w:r>
      <w:r w:rsidRPr="00670221">
        <w:rPr>
          <w:lang w:val="en-US"/>
        </w:rPr>
        <w:t>. This ensures that future costs reflect a wide range of projections from existing research. The formula is constructed as follows:</w:t>
      </w:r>
    </w:p>
    <w:p w14:paraId="5EBAD5B1" w14:textId="77777777" w:rsidR="007925E5" w:rsidRPr="00670221" w:rsidRDefault="007925E5" w:rsidP="007925E5">
      <w:pPr>
        <w:rPr>
          <w:rStyle w:val="mord"/>
          <w:lang w:val="en-US"/>
        </w:rPr>
      </w:pPr>
      <m:oMathPara>
        <m:oMath>
          <m:r>
            <w:rPr>
              <w:rStyle w:val="mrel"/>
              <w:rFonts w:ascii="Cambria Math" w:hAnsi="Cambria Math"/>
              <w:lang w:val="en-US"/>
            </w:rPr>
            <m:t>C(t)=</m:t>
          </m:r>
          <m:f>
            <m:fPr>
              <m:ctrlPr>
                <w:rPr>
                  <w:rStyle w:val="mord"/>
                  <w:rFonts w:ascii="Cambria Math" w:hAnsi="Cambria Math"/>
                  <w:i/>
                  <w:iCs/>
                  <w:lang w:val="en-US"/>
                </w:rPr>
              </m:ctrlPr>
            </m:fPr>
            <m:num>
              <m:r>
                <w:rPr>
                  <w:rStyle w:val="mord"/>
                  <w:rFonts w:ascii="Cambria Math" w:hAnsi="Cambria Math"/>
                  <w:lang w:val="en-US"/>
                </w:rPr>
                <m:t>1</m:t>
              </m:r>
            </m:num>
            <m:den>
              <m:r>
                <w:rPr>
                  <w:rStyle w:val="mord"/>
                  <w:rFonts w:ascii="Cambria Math" w:hAnsi="Cambria Math"/>
                  <w:lang w:val="en-US"/>
                </w:rPr>
                <m:t>2</m:t>
              </m:r>
            </m:den>
          </m:f>
          <m:r>
            <w:rPr>
              <w:rStyle w:val="vlist-s"/>
              <w:rFonts w:ascii="Cambria Math" w:hAnsi="Cambria Math"/>
              <w:lang w:val="en-US"/>
            </w:rPr>
            <m:t>​(</m:t>
          </m:r>
          <m:sSub>
            <m:sSubPr>
              <m:ctrlPr>
                <w:rPr>
                  <w:rStyle w:val="delimsizing"/>
                  <w:rFonts w:ascii="Cambria Math" w:hAnsi="Cambria Math"/>
                  <w:i/>
                  <w:iCs/>
                  <w:lang w:val="en-US"/>
                </w:rPr>
              </m:ctrlPr>
            </m:sSubPr>
            <m:e>
              <m:r>
                <w:rPr>
                  <w:rStyle w:val="delimsizing"/>
                  <w:rFonts w:ascii="Cambria Math" w:hAnsi="Cambria Math"/>
                  <w:lang w:val="en-US"/>
                </w:rPr>
                <m:t>C</m:t>
              </m:r>
            </m:e>
            <m:sub>
              <m:r>
                <w:rPr>
                  <w:rStyle w:val="delimsizing"/>
                  <w:rFonts w:ascii="Cambria Math" w:hAnsi="Cambria Math"/>
                  <w:lang w:val="en-US"/>
                </w:rPr>
                <m:t>0</m:t>
              </m:r>
            </m:sub>
          </m:sSub>
          <m:r>
            <w:rPr>
              <w:rStyle w:val="mord"/>
              <w:rFonts w:ascii="Cambria Math" w:hAnsi="Cambria Math"/>
              <w:lang w:val="en-US"/>
            </w:rPr>
            <m:t>*(</m:t>
          </m:r>
          <m:sSup>
            <m:sSupPr>
              <m:ctrlPr>
                <w:rPr>
                  <w:rStyle w:val="mord"/>
                  <w:rFonts w:ascii="Cambria Math" w:hAnsi="Cambria Math"/>
                  <w:i/>
                  <w:iCs/>
                  <w:lang w:val="en-US"/>
                </w:rPr>
              </m:ctrlPr>
            </m:sSupPr>
            <m:e>
              <m:r>
                <w:rPr>
                  <w:rStyle w:val="mord"/>
                  <w:rFonts w:ascii="Cambria Math" w:hAnsi="Cambria Math"/>
                  <w:lang w:val="en-US"/>
                </w:rPr>
                <m:t>1+t)</m:t>
              </m:r>
            </m:e>
            <m:sup>
              <m:r>
                <w:rPr>
                  <w:rStyle w:val="mord"/>
                  <w:rFonts w:ascii="Cambria Math" w:hAnsi="Cambria Math"/>
                  <w:lang w:val="en-US"/>
                </w:rPr>
                <m:t>-10k</m:t>
              </m:r>
            </m:sup>
          </m:sSup>
          <m:r>
            <w:rPr>
              <w:rStyle w:val="mord"/>
              <w:rFonts w:ascii="Cambria Math" w:hAnsi="Cambria Math"/>
              <w:lang w:val="en-US"/>
            </w:rPr>
            <m:t>+</m:t>
          </m:r>
          <m:sSub>
            <m:sSubPr>
              <m:ctrlPr>
                <w:rPr>
                  <w:rStyle w:val="mord"/>
                  <w:rFonts w:ascii="Cambria Math" w:hAnsi="Cambria Math"/>
                  <w:i/>
                  <w:iCs/>
                  <w:lang w:val="en-US"/>
                </w:rPr>
              </m:ctrlPr>
            </m:sSubPr>
            <m:e>
              <m:r>
                <w:rPr>
                  <w:rStyle w:val="mord"/>
                  <w:rFonts w:ascii="Cambria Math" w:hAnsi="Cambria Math"/>
                  <w:lang w:val="en-US"/>
                </w:rPr>
                <m:t>C</m:t>
              </m:r>
            </m:e>
            <m:sub>
              <m:r>
                <w:rPr>
                  <w:rStyle w:val="mord"/>
                  <w:rFonts w:ascii="Cambria Math" w:hAnsi="Cambria Math"/>
                  <w:lang w:val="en-US"/>
                </w:rPr>
                <m:t>0</m:t>
              </m:r>
            </m:sub>
          </m:sSub>
          <m:r>
            <w:rPr>
              <w:rStyle w:val="mord"/>
              <w:rFonts w:ascii="Cambria Math" w:hAnsi="Cambria Math"/>
              <w:lang w:val="en-US"/>
            </w:rPr>
            <m:t>*</m:t>
          </m:r>
          <m:sSup>
            <m:sSupPr>
              <m:ctrlPr>
                <w:rPr>
                  <w:rStyle w:val="mord"/>
                  <w:rFonts w:ascii="Cambria Math" w:hAnsi="Cambria Math"/>
                  <w:i/>
                  <w:iCs/>
                  <w:lang w:val="en-US"/>
                </w:rPr>
              </m:ctrlPr>
            </m:sSupPr>
            <m:e>
              <m:r>
                <w:rPr>
                  <w:rStyle w:val="mord"/>
                  <w:rFonts w:ascii="Cambria Math" w:hAnsi="Cambria Math"/>
                  <w:lang w:val="en-US"/>
                </w:rPr>
                <m:t>e</m:t>
              </m:r>
            </m:e>
            <m:sup>
              <m:r>
                <w:rPr>
                  <w:rStyle w:val="mord"/>
                  <w:rFonts w:ascii="Cambria Math" w:hAnsi="Cambria Math"/>
                  <w:lang w:val="en-US"/>
                </w:rPr>
                <m:t>-kt</m:t>
              </m:r>
            </m:sup>
          </m:sSup>
          <m:r>
            <w:rPr>
              <w:rStyle w:val="mord"/>
              <w:rFonts w:ascii="Cambria Math" w:hAnsi="Cambria Math"/>
              <w:lang w:val="en-US"/>
            </w:rPr>
            <m:t>)</m:t>
          </m:r>
        </m:oMath>
      </m:oMathPara>
    </w:p>
    <w:p w14:paraId="40A4E22F" w14:textId="77777777" w:rsidR="007925E5" w:rsidRPr="00670221" w:rsidRDefault="007925E5" w:rsidP="007925E5">
      <w:pPr>
        <w:rPr>
          <w:rStyle w:val="mord"/>
          <w:rFonts w:eastAsiaTheme="minorEastAsia"/>
          <w:iCs/>
          <w:lang w:val="en-US"/>
        </w:rPr>
      </w:pPr>
      <w:r w:rsidRPr="00670221">
        <w:rPr>
          <w:rStyle w:val="mord"/>
          <w:rFonts w:eastAsiaTheme="minorEastAsia"/>
          <w:iCs/>
          <w:lang w:val="en-US"/>
        </w:rPr>
        <w:t>Where:</w:t>
      </w:r>
    </w:p>
    <w:p w14:paraId="1085FAB8" w14:textId="77777777" w:rsidR="007925E5" w:rsidRPr="00670221" w:rsidRDefault="007925E5" w:rsidP="007925E5">
      <w:pPr>
        <w:pStyle w:val="ListParagraph"/>
        <w:numPr>
          <w:ilvl w:val="0"/>
          <w:numId w:val="14"/>
        </w:numPr>
        <w:rPr>
          <w:rFonts w:eastAsiaTheme="minorEastAsia"/>
          <w:iCs/>
          <w:lang w:val="en-US"/>
        </w:rPr>
      </w:pPr>
      <m:oMath>
        <m:r>
          <w:rPr>
            <w:rStyle w:val="mrel"/>
            <w:rFonts w:ascii="Cambria Math" w:hAnsi="Cambria Math"/>
            <w:lang w:val="en-US"/>
          </w:rPr>
          <m:t>C(t)</m:t>
        </m:r>
      </m:oMath>
      <w:r w:rsidRPr="00670221">
        <w:rPr>
          <w:lang w:val="en-US"/>
        </w:rPr>
        <w:t>:</w:t>
      </w:r>
    </w:p>
    <w:p w14:paraId="7EF02FEB" w14:textId="77777777"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This represents the cost of the component at a specific time t.</w:t>
      </w:r>
    </w:p>
    <w:p w14:paraId="5F6B4AB9" w14:textId="77777777" w:rsidR="007925E5" w:rsidRPr="00670221" w:rsidRDefault="00C925D5" w:rsidP="007925E5">
      <w:pPr>
        <w:pStyle w:val="ListParagraph"/>
        <w:numPr>
          <w:ilvl w:val="0"/>
          <w:numId w:val="14"/>
        </w:numPr>
        <w:rPr>
          <w:rStyle w:val="delimsizing"/>
          <w:rFonts w:eastAsiaTheme="minorEastAsia"/>
          <w:iCs/>
          <w:lang w:val="en-US"/>
        </w:rPr>
      </w:pPr>
      <m:oMath>
        <m:sSub>
          <m:sSubPr>
            <m:ctrlPr>
              <w:rPr>
                <w:rStyle w:val="delimsizing"/>
                <w:rFonts w:ascii="Cambria Math" w:hAnsi="Cambria Math"/>
                <w:i/>
                <w:iCs/>
                <w:lang w:val="en-US"/>
              </w:rPr>
            </m:ctrlPr>
          </m:sSubPr>
          <m:e>
            <m:r>
              <w:rPr>
                <w:rStyle w:val="delimsizing"/>
                <w:rFonts w:ascii="Cambria Math" w:hAnsi="Cambria Math"/>
                <w:lang w:val="en-US"/>
              </w:rPr>
              <m:t>C</m:t>
            </m:r>
          </m:e>
          <m:sub>
            <m:r>
              <w:rPr>
                <w:rStyle w:val="delimsizing"/>
                <w:rFonts w:ascii="Cambria Math" w:hAnsi="Cambria Math"/>
                <w:lang w:val="en-US"/>
              </w:rPr>
              <m:t>0</m:t>
            </m:r>
          </m:sub>
        </m:sSub>
      </m:oMath>
      <w:r w:rsidR="007925E5" w:rsidRPr="00670221">
        <w:rPr>
          <w:rStyle w:val="delimsizing"/>
          <w:rFonts w:eastAsiaTheme="minorEastAsia"/>
          <w:iCs/>
          <w:lang w:val="en-US"/>
        </w:rPr>
        <w:t xml:space="preserve">: </w:t>
      </w:r>
    </w:p>
    <w:p w14:paraId="321E7AE4" w14:textId="77777777"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This is the initial cost of the component. It serves as the baseline cost against which future costs are compared. In this study, this was the average CAPEX of the values found in literature.</w:t>
      </w:r>
    </w:p>
    <w:p w14:paraId="565D54F1" w14:textId="77777777" w:rsidR="007925E5" w:rsidRPr="00670221" w:rsidRDefault="00C925D5" w:rsidP="007925E5">
      <w:pPr>
        <w:pStyle w:val="ListParagraph"/>
        <w:numPr>
          <w:ilvl w:val="0"/>
          <w:numId w:val="14"/>
        </w:numPr>
        <w:rPr>
          <w:rStyle w:val="mord"/>
          <w:rFonts w:eastAsiaTheme="minorEastAsia"/>
          <w:iCs/>
          <w:lang w:val="en-US"/>
        </w:rPr>
      </w:pPr>
      <m:oMath>
        <m:f>
          <m:fPr>
            <m:ctrlPr>
              <w:rPr>
                <w:rStyle w:val="mord"/>
                <w:rFonts w:ascii="Cambria Math" w:hAnsi="Cambria Math"/>
                <w:i/>
                <w:iCs/>
                <w:lang w:val="en-US"/>
              </w:rPr>
            </m:ctrlPr>
          </m:fPr>
          <m:num>
            <m:r>
              <w:rPr>
                <w:rStyle w:val="mord"/>
                <w:rFonts w:ascii="Cambria Math" w:hAnsi="Cambria Math"/>
                <w:lang w:val="en-US"/>
              </w:rPr>
              <m:t>1</m:t>
            </m:r>
          </m:num>
          <m:den>
            <m:r>
              <w:rPr>
                <w:rStyle w:val="mord"/>
                <w:rFonts w:ascii="Cambria Math" w:hAnsi="Cambria Math"/>
                <w:lang w:val="en-US"/>
              </w:rPr>
              <m:t>2</m:t>
            </m:r>
          </m:den>
        </m:f>
      </m:oMath>
      <w:r w:rsidR="007925E5" w:rsidRPr="00670221">
        <w:rPr>
          <w:rStyle w:val="mord"/>
          <w:rFonts w:eastAsiaTheme="minorEastAsia"/>
          <w:iCs/>
          <w:lang w:val="en-US"/>
        </w:rPr>
        <w:t xml:space="preserve">: </w:t>
      </w:r>
    </w:p>
    <w:p w14:paraId="559092C4" w14:textId="77777777"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The factor of 1/2​ in front of the entire expression is used to average the two different cost projections contained within the parentheses. It suggests that both terms contribute equally to the overall cost projection, balancing polynomial decay and exponential decay contributions.</w:t>
      </w:r>
    </w:p>
    <w:p w14:paraId="265B54A7" w14:textId="77777777" w:rsidR="007925E5" w:rsidRPr="00670221" w:rsidRDefault="007925E5" w:rsidP="007925E5">
      <w:pPr>
        <w:pStyle w:val="ListParagraph"/>
        <w:numPr>
          <w:ilvl w:val="0"/>
          <w:numId w:val="14"/>
        </w:numPr>
        <w:rPr>
          <w:rFonts w:eastAsiaTheme="minorEastAsia"/>
          <w:iCs/>
          <w:lang w:val="en-US"/>
        </w:rPr>
      </w:pPr>
      <m:oMath>
        <m:r>
          <w:rPr>
            <w:rStyle w:val="mord"/>
            <w:rFonts w:ascii="Cambria Math" w:hAnsi="Cambria Math"/>
            <w:lang w:val="en-US"/>
          </w:rPr>
          <m:t>(</m:t>
        </m:r>
        <m:sSup>
          <m:sSupPr>
            <m:ctrlPr>
              <w:rPr>
                <w:rStyle w:val="mord"/>
                <w:rFonts w:ascii="Cambria Math" w:hAnsi="Cambria Math"/>
                <w:i/>
                <w:iCs/>
                <w:lang w:val="en-US"/>
              </w:rPr>
            </m:ctrlPr>
          </m:sSupPr>
          <m:e>
            <m:r>
              <w:rPr>
                <w:rStyle w:val="mord"/>
                <w:rFonts w:ascii="Cambria Math" w:hAnsi="Cambria Math"/>
                <w:lang w:val="en-US"/>
              </w:rPr>
              <m:t>1+t)</m:t>
            </m:r>
          </m:e>
          <m:sup>
            <m:r>
              <w:rPr>
                <w:rStyle w:val="mord"/>
                <w:rFonts w:ascii="Cambria Math" w:hAnsi="Cambria Math"/>
                <w:lang w:val="en-US"/>
              </w:rPr>
              <m:t>-10k</m:t>
            </m:r>
          </m:sup>
        </m:sSup>
      </m:oMath>
      <w:r w:rsidRPr="00670221">
        <w:rPr>
          <w:rFonts w:eastAsiaTheme="minorEastAsia"/>
          <w:iCs/>
          <w:lang w:val="en-US"/>
        </w:rPr>
        <w:t>:</w:t>
      </w:r>
    </w:p>
    <w:p w14:paraId="18CB5047" w14:textId="77777777"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This term represents a polynomial decay function. This reflects the early-stage learning curve, where substantial cost reductions occur quickly.</w:t>
      </w:r>
    </w:p>
    <w:p w14:paraId="4AD383D1" w14:textId="77777777"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The expression (1+t) indicates that as time t increases, this value grows.</w:t>
      </w:r>
    </w:p>
    <w:p w14:paraId="2F74C277" w14:textId="77777777"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Raising (1+t) to the power of −10k causes the overall term to decrease as time passes because the negative exponent leads to an inverse relationship with time.</w:t>
      </w:r>
    </w:p>
    <w:p w14:paraId="2D552B65" w14:textId="77777777"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The factor −10k is critical here. The constant 10 is a scaling factor, and k is the shape parameter, comparable with a learning or improvement rate. This parameter determines how quickly costs decrease with time, effectively controlling the rate of decay in the polynomial term.</w:t>
      </w:r>
    </w:p>
    <w:p w14:paraId="376E8534" w14:textId="77777777" w:rsidR="007925E5" w:rsidRPr="00670221" w:rsidRDefault="00C925D5" w:rsidP="007925E5">
      <w:pPr>
        <w:pStyle w:val="ListParagraph"/>
        <w:numPr>
          <w:ilvl w:val="0"/>
          <w:numId w:val="14"/>
        </w:numPr>
        <w:rPr>
          <w:rStyle w:val="mord"/>
          <w:rFonts w:eastAsiaTheme="minorEastAsia"/>
          <w:iCs/>
          <w:lang w:val="en-US"/>
        </w:rPr>
      </w:pPr>
      <m:oMath>
        <m:sSup>
          <m:sSupPr>
            <m:ctrlPr>
              <w:rPr>
                <w:rStyle w:val="mord"/>
                <w:rFonts w:ascii="Cambria Math" w:hAnsi="Cambria Math"/>
                <w:i/>
                <w:iCs/>
                <w:lang w:val="en-US"/>
              </w:rPr>
            </m:ctrlPr>
          </m:sSupPr>
          <m:e>
            <m:r>
              <w:rPr>
                <w:rStyle w:val="mord"/>
                <w:rFonts w:ascii="Cambria Math" w:hAnsi="Cambria Math"/>
                <w:lang w:val="en-US"/>
              </w:rPr>
              <m:t>e</m:t>
            </m:r>
          </m:e>
          <m:sup>
            <m:r>
              <w:rPr>
                <w:rStyle w:val="mord"/>
                <w:rFonts w:ascii="Cambria Math" w:hAnsi="Cambria Math"/>
                <w:lang w:val="en-US"/>
              </w:rPr>
              <m:t>-kt</m:t>
            </m:r>
          </m:sup>
        </m:sSup>
      </m:oMath>
      <w:r w:rsidR="007925E5" w:rsidRPr="00670221">
        <w:rPr>
          <w:rStyle w:val="mord"/>
          <w:rFonts w:eastAsiaTheme="minorEastAsia"/>
          <w:iCs/>
          <w:lang w:val="en-US"/>
        </w:rPr>
        <w:t>:</w:t>
      </w:r>
    </w:p>
    <w:p w14:paraId="25F8E89E" w14:textId="406D66D5"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 xml:space="preserve">This is an exponential decay function. This reflects the later stage of technology maturation where cost reductions slow down but </w:t>
      </w:r>
      <w:r w:rsidR="005F36ED" w:rsidRPr="00670221">
        <w:rPr>
          <w:rFonts w:eastAsiaTheme="minorEastAsia"/>
          <w:iCs/>
          <w:lang w:val="en-US"/>
        </w:rPr>
        <w:t>continue</w:t>
      </w:r>
      <w:r w:rsidRPr="00670221">
        <w:rPr>
          <w:rFonts w:eastAsiaTheme="minorEastAsia"/>
          <w:iCs/>
          <w:lang w:val="en-US"/>
        </w:rPr>
        <w:t xml:space="preserve"> over a longer period.</w:t>
      </w:r>
    </w:p>
    <w:p w14:paraId="5900CF3C" w14:textId="77777777" w:rsidR="007925E5" w:rsidRPr="00670221" w:rsidRDefault="007925E5" w:rsidP="007925E5">
      <w:pPr>
        <w:pStyle w:val="ListParagraph"/>
        <w:numPr>
          <w:ilvl w:val="1"/>
          <w:numId w:val="14"/>
        </w:numPr>
        <w:rPr>
          <w:rFonts w:eastAsiaTheme="minorEastAsia"/>
          <w:iCs/>
          <w:lang w:val="en-US"/>
        </w:rPr>
      </w:pPr>
      <w:r w:rsidRPr="00670221">
        <w:rPr>
          <w:rFonts w:eastAsiaTheme="minorEastAsia"/>
          <w:iCs/>
          <w:lang w:val="en-US"/>
        </w:rPr>
        <w:t>It represents the exponential decline in costs over time. The parameter k controls the rate of this decay.</w:t>
      </w:r>
    </w:p>
    <w:p w14:paraId="12A1A2F5" w14:textId="4B31FB54" w:rsidR="007925E5" w:rsidRPr="00670221" w:rsidRDefault="007925E5" w:rsidP="00723F4B">
      <w:pPr>
        <w:pStyle w:val="ListParagraph"/>
        <w:numPr>
          <w:ilvl w:val="1"/>
          <w:numId w:val="14"/>
        </w:numPr>
        <w:rPr>
          <w:rFonts w:eastAsiaTheme="minorEastAsia"/>
          <w:iCs/>
          <w:lang w:val="en-US"/>
        </w:rPr>
      </w:pPr>
      <w:r w:rsidRPr="00670221">
        <w:rPr>
          <w:rFonts w:eastAsiaTheme="minorEastAsia"/>
          <w:iCs/>
          <w:lang w:val="en-US"/>
        </w:rPr>
        <w:t xml:space="preserve">As time t increases, </w:t>
      </w:r>
      <m:oMath>
        <m:sSup>
          <m:sSupPr>
            <m:ctrlPr>
              <w:rPr>
                <w:rStyle w:val="mord"/>
                <w:rFonts w:ascii="Cambria Math" w:hAnsi="Cambria Math"/>
                <w:i/>
                <w:iCs/>
                <w:lang w:val="en-US"/>
              </w:rPr>
            </m:ctrlPr>
          </m:sSupPr>
          <m:e>
            <m:r>
              <w:rPr>
                <w:rStyle w:val="mord"/>
                <w:rFonts w:ascii="Cambria Math" w:hAnsi="Cambria Math"/>
                <w:lang w:val="en-US"/>
              </w:rPr>
              <m:t>e</m:t>
            </m:r>
          </m:e>
          <m:sup>
            <m:r>
              <w:rPr>
                <w:rStyle w:val="mord"/>
                <w:rFonts w:ascii="Cambria Math" w:hAnsi="Cambria Math"/>
                <w:lang w:val="en-US"/>
              </w:rPr>
              <m:t>-kt</m:t>
            </m:r>
          </m:sup>
        </m:sSup>
      </m:oMath>
      <w:r w:rsidRPr="00670221">
        <w:rPr>
          <w:rStyle w:val="mord"/>
          <w:rFonts w:eastAsiaTheme="minorEastAsia"/>
          <w:iCs/>
          <w:lang w:val="en-US"/>
        </w:rPr>
        <w:t xml:space="preserve"> </w:t>
      </w:r>
      <w:r w:rsidRPr="00670221">
        <w:rPr>
          <w:rFonts w:eastAsiaTheme="minorEastAsia"/>
          <w:iCs/>
          <w:lang w:val="en-US"/>
        </w:rPr>
        <w:t xml:space="preserve">decreases, causing this term to shrink and thus reduce the overall cost of </w:t>
      </w:r>
      <m:oMath>
        <m:r>
          <w:rPr>
            <w:rStyle w:val="mrel"/>
            <w:rFonts w:ascii="Cambria Math" w:hAnsi="Cambria Math"/>
            <w:lang w:val="en-US"/>
          </w:rPr>
          <m:t>C(t)</m:t>
        </m:r>
      </m:oMath>
      <w:r w:rsidRPr="00670221">
        <w:rPr>
          <w:rStyle w:val="mrel"/>
          <w:rFonts w:eastAsiaTheme="minorEastAsia"/>
          <w:iCs/>
          <w:lang w:val="en-US"/>
        </w:rPr>
        <w:t>.</w:t>
      </w:r>
    </w:p>
    <w:p w14:paraId="7FE9B270" w14:textId="353D4EEF" w:rsidR="00723F4B" w:rsidRPr="00670221" w:rsidRDefault="00723F4B" w:rsidP="001501AA">
      <w:pPr>
        <w:pStyle w:val="Heading4"/>
        <w:rPr>
          <w:lang w:val="en-US"/>
        </w:rPr>
      </w:pPr>
      <w:r w:rsidRPr="00670221">
        <w:rPr>
          <w:lang w:val="en-US"/>
        </w:rPr>
        <w:lastRenderedPageBreak/>
        <w:t>Calculation of Annualized CAPEX</w:t>
      </w:r>
    </w:p>
    <w:p w14:paraId="436F7E47" w14:textId="5555FAE7" w:rsidR="00723F4B" w:rsidRPr="00670221" w:rsidRDefault="00723F4B" w:rsidP="00723F4B">
      <w:pPr>
        <w:rPr>
          <w:lang w:val="en-US"/>
        </w:rPr>
      </w:pPr>
      <w:r w:rsidRPr="00670221">
        <w:rPr>
          <w:lang w:val="en-US"/>
        </w:rPr>
        <w:t xml:space="preserve">For each component involved in the production of SAF, the annualized </w:t>
      </w:r>
      <w:r w:rsidR="00AA2584" w:rsidRPr="00670221">
        <w:rPr>
          <w:lang w:val="en-US"/>
        </w:rPr>
        <w:t>c</w:t>
      </w:r>
      <w:r w:rsidRPr="00670221">
        <w:rPr>
          <w:lang w:val="en-US"/>
        </w:rPr>
        <w:t xml:space="preserve">apital </w:t>
      </w:r>
      <w:r w:rsidR="00AA2584" w:rsidRPr="00670221">
        <w:rPr>
          <w:lang w:val="en-US"/>
        </w:rPr>
        <w:t>e</w:t>
      </w:r>
      <w:r w:rsidRPr="00670221">
        <w:rPr>
          <w:lang w:val="en-US"/>
        </w:rPr>
        <w:t>xpenditure (CAPEX) was calculated using the PMT function in Excel. The formula used is as follows:</w:t>
      </w:r>
    </w:p>
    <w:p w14:paraId="274C52EB" w14:textId="2ABD59E4" w:rsidR="00723F4B" w:rsidRPr="00670221" w:rsidRDefault="00723F4B" w:rsidP="00DF44CB">
      <w:pPr>
        <w:jc w:val="center"/>
        <w:rPr>
          <w:lang w:val="en-US"/>
        </w:rPr>
      </w:pPr>
      <m:oMathPara>
        <m:oMath>
          <m:r>
            <w:rPr>
              <w:rFonts w:ascii="Cambria Math" w:hAnsi="Cambria Math"/>
              <w:lang w:val="en-US"/>
            </w:rPr>
            <m:t>Annualized CAPEX= -PMT(r,N, CAPEX)</m:t>
          </m:r>
        </m:oMath>
      </m:oMathPara>
    </w:p>
    <w:p w14:paraId="3615D524" w14:textId="77777777" w:rsidR="00723F4B" w:rsidRPr="00670221" w:rsidRDefault="00723F4B" w:rsidP="00723F4B">
      <w:pPr>
        <w:rPr>
          <w:lang w:val="en-US"/>
        </w:rPr>
      </w:pPr>
      <w:r w:rsidRPr="00670221">
        <w:rPr>
          <w:lang w:val="en-US"/>
        </w:rPr>
        <w:t>Where:</w:t>
      </w:r>
    </w:p>
    <w:p w14:paraId="7E9EA2C3" w14:textId="403C784C" w:rsidR="00723F4B" w:rsidRPr="00670221" w:rsidRDefault="00723F4B" w:rsidP="00100D5D">
      <w:pPr>
        <w:pStyle w:val="ListParagraph"/>
        <w:numPr>
          <w:ilvl w:val="0"/>
          <w:numId w:val="16"/>
        </w:numPr>
        <w:rPr>
          <w:lang w:val="en-US"/>
        </w:rPr>
      </w:pPr>
      <w:r w:rsidRPr="00670221">
        <w:rPr>
          <w:lang w:val="en-US"/>
        </w:rPr>
        <w:t>r = discount</w:t>
      </w:r>
      <w:r w:rsidR="00AA65CD" w:rsidRPr="00670221">
        <w:rPr>
          <w:lang w:val="en-US"/>
        </w:rPr>
        <w:t xml:space="preserve"> rate</w:t>
      </w:r>
      <w:r w:rsidRPr="00670221">
        <w:rPr>
          <w:lang w:val="en-US"/>
        </w:rPr>
        <w:t>, which was taken as the WACC (Weighted Average Cost of Capital)</w:t>
      </w:r>
    </w:p>
    <w:p w14:paraId="26D70721" w14:textId="77777777" w:rsidR="00723F4B" w:rsidRPr="00670221" w:rsidRDefault="00723F4B" w:rsidP="00100D5D">
      <w:pPr>
        <w:pStyle w:val="ListParagraph"/>
        <w:numPr>
          <w:ilvl w:val="0"/>
          <w:numId w:val="16"/>
        </w:numPr>
        <w:rPr>
          <w:lang w:val="en-US"/>
        </w:rPr>
      </w:pPr>
      <w:r w:rsidRPr="00670221">
        <w:rPr>
          <w:lang w:val="en-US"/>
        </w:rPr>
        <w:t>N = depreciation period in years, which was set to the asset’s lifetime</w:t>
      </w:r>
    </w:p>
    <w:p w14:paraId="2239533C" w14:textId="27341779" w:rsidR="00723F4B" w:rsidRPr="00670221" w:rsidRDefault="00723F4B" w:rsidP="00100D5D">
      <w:pPr>
        <w:pStyle w:val="ListParagraph"/>
        <w:numPr>
          <w:ilvl w:val="0"/>
          <w:numId w:val="16"/>
        </w:numPr>
        <w:rPr>
          <w:lang w:val="en-US"/>
        </w:rPr>
      </w:pPr>
      <w:r w:rsidRPr="00670221">
        <w:rPr>
          <w:lang w:val="en-US"/>
        </w:rPr>
        <w:t>CAPEX = initial capital cost.</w:t>
      </w:r>
    </w:p>
    <w:p w14:paraId="0C3ADAE6" w14:textId="570E2BAB" w:rsidR="00723F4B" w:rsidRPr="00670221" w:rsidRDefault="00723F4B" w:rsidP="00723F4B">
      <w:pPr>
        <w:rPr>
          <w:lang w:val="en-US"/>
        </w:rPr>
      </w:pPr>
      <w:r w:rsidRPr="00670221">
        <w:rPr>
          <w:lang w:val="en-US"/>
        </w:rPr>
        <w:t>The PMT function calculates the annual payment needed to cover both the principal and the interest over the component’s lifetime. The formula behind the PMT function is:</w:t>
      </w:r>
    </w:p>
    <w:p w14:paraId="48EC6293" w14:textId="4373A1F6" w:rsidR="00723F4B" w:rsidRPr="00670221" w:rsidRDefault="00723F4B" w:rsidP="00DF44CB">
      <w:pPr>
        <w:jc w:val="center"/>
        <w:rPr>
          <w:lang w:val="en-US"/>
        </w:rPr>
      </w:pPr>
      <m:oMathPara>
        <m:oMath>
          <m:r>
            <w:rPr>
              <w:rFonts w:ascii="Cambria Math" w:hAnsi="Cambria Math"/>
              <w:lang w:val="en-US"/>
            </w:rPr>
            <m:t xml:space="preserve">PMT=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P*r*(1+r)</m:t>
                  </m:r>
                </m:e>
                <m:sup>
                  <m:r>
                    <w:rPr>
                      <w:rFonts w:ascii="Cambria Math" w:hAnsi="Cambria Math"/>
                      <w:lang w:val="en-US"/>
                    </w:rPr>
                    <m:t>n</m:t>
                  </m:r>
                </m:sup>
              </m:sSup>
            </m:num>
            <m:den>
              <m:sSup>
                <m:sSupPr>
                  <m:ctrlPr>
                    <w:rPr>
                      <w:rFonts w:ascii="Cambria Math" w:hAnsi="Cambria Math"/>
                      <w:i/>
                      <w:lang w:val="en-US"/>
                    </w:rPr>
                  </m:ctrlPr>
                </m:sSupPr>
                <m:e>
                  <m:r>
                    <w:rPr>
                      <w:rFonts w:ascii="Cambria Math" w:hAnsi="Cambria Math"/>
                      <w:lang w:val="en-US"/>
                    </w:rPr>
                    <m:t>(1+r)</m:t>
                  </m:r>
                </m:e>
                <m:sup>
                  <m:r>
                    <w:rPr>
                      <w:rFonts w:ascii="Cambria Math" w:hAnsi="Cambria Math"/>
                      <w:lang w:val="en-US"/>
                    </w:rPr>
                    <m:t>n</m:t>
                  </m:r>
                </m:sup>
              </m:sSup>
              <m:r>
                <w:rPr>
                  <w:rFonts w:ascii="Cambria Math" w:hAnsi="Cambria Math"/>
                  <w:lang w:val="en-US"/>
                </w:rPr>
                <m:t>-1</m:t>
              </m:r>
            </m:den>
          </m:f>
        </m:oMath>
      </m:oMathPara>
    </w:p>
    <w:p w14:paraId="2F8E8402" w14:textId="77777777" w:rsidR="00723F4B" w:rsidRPr="00670221" w:rsidRDefault="00723F4B" w:rsidP="00723F4B">
      <w:pPr>
        <w:rPr>
          <w:lang w:val="en-US"/>
        </w:rPr>
      </w:pPr>
      <w:r w:rsidRPr="00670221">
        <w:rPr>
          <w:lang w:val="en-US"/>
        </w:rPr>
        <w:t>Where:</w:t>
      </w:r>
    </w:p>
    <w:p w14:paraId="096B1C11" w14:textId="77777777" w:rsidR="00723F4B" w:rsidRPr="00670221" w:rsidRDefault="00723F4B" w:rsidP="00100D5D">
      <w:pPr>
        <w:pStyle w:val="ListParagraph"/>
        <w:numPr>
          <w:ilvl w:val="0"/>
          <w:numId w:val="17"/>
        </w:numPr>
        <w:rPr>
          <w:lang w:val="en-US"/>
        </w:rPr>
      </w:pPr>
      <w:r w:rsidRPr="00670221">
        <w:rPr>
          <w:lang w:val="en-US"/>
        </w:rPr>
        <w:t>P = present value or initial investment (CAPEX).</w:t>
      </w:r>
    </w:p>
    <w:p w14:paraId="6D207BC2" w14:textId="4E8061AE" w:rsidR="00723F4B" w:rsidRPr="00670221" w:rsidRDefault="00723F4B" w:rsidP="00100D5D">
      <w:pPr>
        <w:pStyle w:val="ListParagraph"/>
        <w:numPr>
          <w:ilvl w:val="0"/>
          <w:numId w:val="17"/>
        </w:numPr>
        <w:rPr>
          <w:lang w:val="en-US"/>
        </w:rPr>
      </w:pPr>
      <w:r w:rsidRPr="00670221">
        <w:rPr>
          <w:lang w:val="en-US"/>
        </w:rPr>
        <w:t xml:space="preserve">R = </w:t>
      </w:r>
      <w:r w:rsidR="00F45E0F" w:rsidRPr="00670221">
        <w:rPr>
          <w:lang w:val="en-US"/>
        </w:rPr>
        <w:t>interest</w:t>
      </w:r>
      <w:r w:rsidRPr="00670221">
        <w:rPr>
          <w:lang w:val="en-US"/>
        </w:rPr>
        <w:t xml:space="preserve"> (discount rate).</w:t>
      </w:r>
    </w:p>
    <w:p w14:paraId="257F4C90" w14:textId="74E7DE6A" w:rsidR="00723F4B" w:rsidRPr="00670221" w:rsidRDefault="00723F4B" w:rsidP="00100D5D">
      <w:pPr>
        <w:pStyle w:val="ListParagraph"/>
        <w:numPr>
          <w:ilvl w:val="0"/>
          <w:numId w:val="17"/>
        </w:numPr>
        <w:rPr>
          <w:lang w:val="en-US"/>
        </w:rPr>
      </w:pPr>
      <w:r w:rsidRPr="00670221">
        <w:rPr>
          <w:lang w:val="en-US"/>
        </w:rPr>
        <w:t>n = number of periods (system lifetime).</w:t>
      </w:r>
    </w:p>
    <w:p w14:paraId="1FA90954" w14:textId="79B17C99" w:rsidR="00723F4B" w:rsidRPr="00670221" w:rsidRDefault="00723F4B" w:rsidP="001501AA">
      <w:pPr>
        <w:pStyle w:val="Heading4"/>
        <w:rPr>
          <w:lang w:val="en-US"/>
        </w:rPr>
      </w:pPr>
      <w:r w:rsidRPr="00670221">
        <w:rPr>
          <w:lang w:val="en-US"/>
        </w:rPr>
        <w:t>Calculation of Annualized OPEX</w:t>
      </w:r>
    </w:p>
    <w:p w14:paraId="32D7AD43" w14:textId="1E1920ED" w:rsidR="00723F4B" w:rsidRPr="00670221" w:rsidRDefault="00723F4B" w:rsidP="00723F4B">
      <w:pPr>
        <w:rPr>
          <w:lang w:val="en-US"/>
        </w:rPr>
      </w:pPr>
      <w:r w:rsidRPr="00670221">
        <w:rPr>
          <w:lang w:val="en-US"/>
        </w:rPr>
        <w:t xml:space="preserve">The </w:t>
      </w:r>
      <w:r w:rsidR="00AA2584" w:rsidRPr="00670221">
        <w:rPr>
          <w:lang w:val="en-US"/>
        </w:rPr>
        <w:t>o</w:t>
      </w:r>
      <w:r w:rsidRPr="00670221">
        <w:rPr>
          <w:lang w:val="en-US"/>
        </w:rPr>
        <w:t xml:space="preserve">perating </w:t>
      </w:r>
      <w:r w:rsidR="00AA2584" w:rsidRPr="00670221">
        <w:rPr>
          <w:lang w:val="en-US"/>
        </w:rPr>
        <w:t>e</w:t>
      </w:r>
      <w:r w:rsidRPr="00670221">
        <w:rPr>
          <w:lang w:val="en-US"/>
        </w:rPr>
        <w:t xml:space="preserve">xpenditure (OPEX) was annualized separately. The fixed OPEX was calculated based on a percentage of the CAPEX, while the variable OPEX </w:t>
      </w:r>
      <w:r w:rsidR="00B32323" w:rsidRPr="00670221">
        <w:rPr>
          <w:lang w:val="en-US"/>
        </w:rPr>
        <w:t>is mostly energy dependent.</w:t>
      </w:r>
    </w:p>
    <w:p w14:paraId="16AD4071" w14:textId="4543BA8B" w:rsidR="00DF44CB" w:rsidRPr="00670221" w:rsidRDefault="00723F4B" w:rsidP="00723F4B">
      <w:pPr>
        <w:rPr>
          <w:rFonts w:eastAsiaTheme="minorEastAsia"/>
          <w:lang w:val="en-US"/>
        </w:rPr>
      </w:pPr>
      <m:oMathPara>
        <m:oMath>
          <m:r>
            <w:rPr>
              <w:rFonts w:ascii="Cambria Math" w:hAnsi="Cambria Math"/>
              <w:lang w:val="en-US"/>
            </w:rPr>
            <m:t>Annualized OPEX=Fixed OPEX+Variable OPEX</m:t>
          </m:r>
        </m:oMath>
      </m:oMathPara>
    </w:p>
    <w:p w14:paraId="12467422" w14:textId="77777777" w:rsidR="00723F4B" w:rsidRPr="00670221" w:rsidRDefault="00723F4B" w:rsidP="00723F4B">
      <w:pPr>
        <w:rPr>
          <w:lang w:val="en-US"/>
        </w:rPr>
      </w:pPr>
      <w:r w:rsidRPr="00670221">
        <w:rPr>
          <w:lang w:val="en-US"/>
        </w:rPr>
        <w:t>Where:</w:t>
      </w:r>
    </w:p>
    <w:p w14:paraId="33E2087B" w14:textId="77777777" w:rsidR="00723F4B" w:rsidRPr="00670221" w:rsidRDefault="00723F4B" w:rsidP="00100D5D">
      <w:pPr>
        <w:pStyle w:val="ListParagraph"/>
        <w:numPr>
          <w:ilvl w:val="0"/>
          <w:numId w:val="18"/>
        </w:numPr>
        <w:rPr>
          <w:lang w:val="en-US"/>
        </w:rPr>
      </w:pPr>
      <w:r w:rsidRPr="00670221">
        <w:rPr>
          <w:lang w:val="en-US"/>
        </w:rPr>
        <w:t>Fixed OPEX is expressed as a percentage of CAPEX.</w:t>
      </w:r>
    </w:p>
    <w:p w14:paraId="016C1F25" w14:textId="14C662FC" w:rsidR="00723F4B" w:rsidRPr="00670221" w:rsidRDefault="00723F4B" w:rsidP="00100D5D">
      <w:pPr>
        <w:pStyle w:val="ListParagraph"/>
        <w:numPr>
          <w:ilvl w:val="0"/>
          <w:numId w:val="18"/>
        </w:numPr>
        <w:rPr>
          <w:lang w:val="en-US"/>
        </w:rPr>
      </w:pPr>
      <w:r w:rsidRPr="00670221">
        <w:rPr>
          <w:lang w:val="en-US"/>
        </w:rPr>
        <w:t xml:space="preserve">Variable OPEX depends on the energy </w:t>
      </w:r>
      <w:r w:rsidR="00E03972" w:rsidRPr="00670221">
        <w:rPr>
          <w:lang w:val="en-US"/>
        </w:rPr>
        <w:t>consumption per unit and energy cost</w:t>
      </w:r>
      <w:r w:rsidRPr="00670221">
        <w:rPr>
          <w:lang w:val="en-US"/>
        </w:rPr>
        <w:t>.</w:t>
      </w:r>
    </w:p>
    <w:p w14:paraId="5F493A96" w14:textId="15AFF071" w:rsidR="00A3218C" w:rsidRPr="00670221" w:rsidRDefault="00A3218C" w:rsidP="00FB78EC">
      <w:pPr>
        <w:pStyle w:val="Heading4"/>
        <w:rPr>
          <w:lang w:val="en-US"/>
        </w:rPr>
      </w:pPr>
      <w:r w:rsidRPr="00670221">
        <w:rPr>
          <w:lang w:val="en-US"/>
        </w:rPr>
        <w:t xml:space="preserve">Calculation of </w:t>
      </w:r>
      <w:r w:rsidR="005215E8" w:rsidRPr="00670221">
        <w:rPr>
          <w:lang w:val="en-US"/>
        </w:rPr>
        <w:t xml:space="preserve">variable </w:t>
      </w:r>
      <w:r w:rsidR="00FB78EC" w:rsidRPr="00670221">
        <w:rPr>
          <w:lang w:val="en-US"/>
        </w:rPr>
        <w:t>OPEX</w:t>
      </w:r>
      <w:r w:rsidR="009144F3" w:rsidRPr="00670221">
        <w:rPr>
          <w:lang w:val="en-US"/>
        </w:rPr>
        <w:t>:</w:t>
      </w:r>
      <w:r w:rsidR="00597923" w:rsidRPr="00670221">
        <w:rPr>
          <w:lang w:val="en-US"/>
        </w:rPr>
        <w:t xml:space="preserve"> </w:t>
      </w:r>
      <w:proofErr w:type="spellStart"/>
      <w:r w:rsidR="00597923" w:rsidRPr="00670221">
        <w:rPr>
          <w:lang w:val="en-US"/>
        </w:rPr>
        <w:t>Electrolyzer</w:t>
      </w:r>
      <w:proofErr w:type="spellEnd"/>
    </w:p>
    <w:p w14:paraId="04E5ACE4" w14:textId="25F1F759" w:rsidR="00FB78EC" w:rsidRPr="00670221" w:rsidRDefault="009B3C68" w:rsidP="00FB78EC">
      <w:pPr>
        <w:rPr>
          <w:lang w:val="en-US"/>
        </w:rPr>
      </w:pPr>
      <w:r w:rsidRPr="00670221">
        <w:rPr>
          <w:lang w:val="en-US"/>
        </w:rPr>
        <w:t xml:space="preserve">The variable OPEX </w:t>
      </w:r>
      <w:r w:rsidR="00363A9D" w:rsidRPr="00670221">
        <w:rPr>
          <w:lang w:val="en-US"/>
        </w:rPr>
        <w:t>determines how much electricity is used and depends on the technology</w:t>
      </w:r>
      <w:r w:rsidR="00B86886" w:rsidRPr="00670221">
        <w:rPr>
          <w:lang w:val="en-US"/>
        </w:rPr>
        <w:t xml:space="preserve"> (</w:t>
      </w:r>
      <w:r w:rsidR="00827665" w:rsidRPr="00670221">
        <w:rPr>
          <w:lang w:val="en-US"/>
        </w:rPr>
        <w:t>efficiency), fuel type (LHV)</w:t>
      </w:r>
      <w:r w:rsidR="00363A9D" w:rsidRPr="00670221">
        <w:rPr>
          <w:lang w:val="en-US"/>
        </w:rPr>
        <w:t xml:space="preserve"> </w:t>
      </w:r>
      <w:r w:rsidR="00107E3B" w:rsidRPr="00670221">
        <w:rPr>
          <w:lang w:val="en-US"/>
        </w:rPr>
        <w:t>and the electricity price:</w:t>
      </w:r>
    </w:p>
    <w:p w14:paraId="612C35A1" w14:textId="06C2FF03" w:rsidR="002D6051" w:rsidRPr="00670221" w:rsidRDefault="002D6051" w:rsidP="00FB78EC">
      <w:pPr>
        <w:rPr>
          <w:rFonts w:eastAsiaTheme="minorEastAsia"/>
          <w:lang w:val="en-US"/>
        </w:rPr>
      </w:pPr>
      <m:oMathPara>
        <m:oMath>
          <m:r>
            <w:rPr>
              <w:rFonts w:ascii="Cambria Math" w:hAnsi="Cambria Math"/>
              <w:lang w:val="en-US"/>
            </w:rPr>
            <m:t>Variable OPEX=</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Efficiency</m:t>
              </m:r>
            </m:den>
          </m:f>
          <m:r>
            <w:rPr>
              <w:rFonts w:ascii="Cambria Math" w:hAnsi="Cambria Math"/>
              <w:lang w:val="en-US"/>
            </w:rPr>
            <m:t>*LHV*Electricity Price</m:t>
          </m:r>
        </m:oMath>
      </m:oMathPara>
    </w:p>
    <w:p w14:paraId="5D38D313" w14:textId="2C7F62E3" w:rsidR="000F0901" w:rsidRPr="00670221" w:rsidRDefault="000F0901" w:rsidP="00FB78EC">
      <w:pPr>
        <w:rPr>
          <w:rFonts w:eastAsiaTheme="minorEastAsia"/>
          <w:lang w:val="en-US"/>
        </w:rPr>
      </w:pPr>
      <w:r w:rsidRPr="00670221">
        <w:rPr>
          <w:rFonts w:eastAsiaTheme="minorEastAsia"/>
          <w:lang w:val="en-US"/>
        </w:rPr>
        <w:t>Where:</w:t>
      </w:r>
    </w:p>
    <w:p w14:paraId="38722C85" w14:textId="77777777" w:rsidR="00107E3B" w:rsidRPr="00670221" w:rsidRDefault="00887648" w:rsidP="00107E3B">
      <w:pPr>
        <w:pStyle w:val="ListParagraph"/>
        <w:numPr>
          <w:ilvl w:val="0"/>
          <w:numId w:val="67"/>
        </w:numPr>
        <w:rPr>
          <w:rFonts w:eastAsiaTheme="minorEastAsia"/>
          <w:lang w:val="en-US"/>
        </w:rPr>
      </w:pPr>
      <w:r w:rsidRPr="00670221">
        <w:rPr>
          <w:rFonts w:eastAsiaTheme="minorEastAsia"/>
          <w:lang w:val="en-US"/>
        </w:rPr>
        <w:t>E</w:t>
      </w:r>
      <w:r w:rsidR="000F0901" w:rsidRPr="00670221">
        <w:rPr>
          <w:rFonts w:eastAsiaTheme="minorEastAsia"/>
          <w:lang w:val="en-US"/>
        </w:rPr>
        <w:t>ffic</w:t>
      </w:r>
      <w:r w:rsidRPr="00670221">
        <w:rPr>
          <w:rFonts w:eastAsiaTheme="minorEastAsia"/>
          <w:lang w:val="en-US"/>
        </w:rPr>
        <w:t xml:space="preserve">iency = </w:t>
      </w:r>
      <w:proofErr w:type="spellStart"/>
      <w:r w:rsidR="006B0304" w:rsidRPr="00670221">
        <w:rPr>
          <w:rFonts w:eastAsiaTheme="minorEastAsia"/>
          <w:lang w:val="en-US"/>
        </w:rPr>
        <w:t>electrolyzer</w:t>
      </w:r>
      <w:proofErr w:type="spellEnd"/>
      <w:r w:rsidR="006B0304" w:rsidRPr="00670221">
        <w:rPr>
          <w:rFonts w:eastAsiaTheme="minorEastAsia"/>
          <w:lang w:val="en-US"/>
        </w:rPr>
        <w:t xml:space="preserve"> efficiency (%)</w:t>
      </w:r>
    </w:p>
    <w:p w14:paraId="0BC638D6" w14:textId="2254F75B" w:rsidR="00887648" w:rsidRPr="00670221" w:rsidRDefault="00887648" w:rsidP="00107E3B">
      <w:pPr>
        <w:pStyle w:val="ListParagraph"/>
        <w:numPr>
          <w:ilvl w:val="0"/>
          <w:numId w:val="67"/>
        </w:numPr>
        <w:rPr>
          <w:rFonts w:eastAsiaTheme="minorEastAsia"/>
          <w:lang w:val="en-US"/>
        </w:rPr>
      </w:pPr>
      <w:r w:rsidRPr="00670221">
        <w:rPr>
          <w:rFonts w:eastAsiaTheme="minorEastAsia"/>
          <w:lang w:val="en-US"/>
        </w:rPr>
        <w:t xml:space="preserve">LHV </w:t>
      </w:r>
      <w:r w:rsidR="00575341" w:rsidRPr="00670221">
        <w:rPr>
          <w:rFonts w:eastAsiaTheme="minorEastAsia"/>
          <w:lang w:val="en-US"/>
        </w:rPr>
        <w:t xml:space="preserve">(Lower Heating Value) = </w:t>
      </w:r>
      <w:r w:rsidR="007A3845" w:rsidRPr="00670221">
        <w:rPr>
          <w:rFonts w:eastAsiaTheme="minorEastAsia"/>
          <w:lang w:val="en-US"/>
        </w:rPr>
        <w:t>representing the energy content of a fuel</w:t>
      </w:r>
      <w:r w:rsidR="00575341" w:rsidRPr="00670221">
        <w:rPr>
          <w:rFonts w:eastAsiaTheme="minorEastAsia"/>
          <w:lang w:val="en-US"/>
        </w:rPr>
        <w:t xml:space="preserve"> per unit mass or volume</w:t>
      </w:r>
      <w:r w:rsidR="00827665" w:rsidRPr="00670221">
        <w:rPr>
          <w:rFonts w:eastAsiaTheme="minorEastAsia"/>
          <w:lang w:val="en-US"/>
        </w:rPr>
        <w:t>,</w:t>
      </w:r>
      <w:r w:rsidR="00ED797B" w:rsidRPr="00670221">
        <w:rPr>
          <w:rFonts w:eastAsiaTheme="minorEastAsia"/>
          <w:lang w:val="en-US"/>
        </w:rPr>
        <w:t xml:space="preserve"> </w:t>
      </w:r>
      <w:r w:rsidR="00A517FA" w:rsidRPr="00670221">
        <w:rPr>
          <w:rFonts w:eastAsiaTheme="minorEastAsia"/>
          <w:lang w:val="en-US"/>
        </w:rPr>
        <w:t xml:space="preserve">either </w:t>
      </w:r>
      <w:r w:rsidR="00827665" w:rsidRPr="00670221">
        <w:rPr>
          <w:rFonts w:eastAsiaTheme="minorEastAsia"/>
          <w:lang w:val="en-US"/>
        </w:rPr>
        <w:t xml:space="preserve">in </w:t>
      </w:r>
      <w:r w:rsidR="00A517FA" w:rsidRPr="00670221">
        <w:rPr>
          <w:rFonts w:eastAsiaTheme="minorEastAsia"/>
          <w:lang w:val="en-US"/>
        </w:rPr>
        <w:t>kWh/kg or kWh/m</w:t>
      </w:r>
      <w:r w:rsidR="00A517FA" w:rsidRPr="00670221">
        <w:rPr>
          <w:rFonts w:eastAsiaTheme="minorEastAsia"/>
          <w:vertAlign w:val="superscript"/>
          <w:lang w:val="en-US"/>
        </w:rPr>
        <w:t>3</w:t>
      </w:r>
      <w:r w:rsidR="00827665" w:rsidRPr="00670221">
        <w:rPr>
          <w:rFonts w:eastAsiaTheme="minorEastAsia"/>
          <w:lang w:val="en-US"/>
        </w:rPr>
        <w:t>.</w:t>
      </w:r>
    </w:p>
    <w:p w14:paraId="3C11FD69" w14:textId="07B8176C" w:rsidR="00107E3B" w:rsidRPr="00670221" w:rsidRDefault="00887648" w:rsidP="00107E3B">
      <w:pPr>
        <w:pStyle w:val="ListParagraph"/>
        <w:numPr>
          <w:ilvl w:val="0"/>
          <w:numId w:val="67"/>
        </w:numPr>
        <w:rPr>
          <w:rFonts w:eastAsiaTheme="minorEastAsia"/>
          <w:lang w:val="en-US"/>
        </w:rPr>
      </w:pPr>
      <w:r w:rsidRPr="00670221">
        <w:rPr>
          <w:rFonts w:eastAsiaTheme="minorEastAsia"/>
          <w:lang w:val="en-US"/>
        </w:rPr>
        <w:t xml:space="preserve">Electricity price = a given constant </w:t>
      </w:r>
      <w:r w:rsidRPr="00670221">
        <w:rPr>
          <w:lang w:val="en-US"/>
        </w:rPr>
        <w:t>representing the levelized cost of renewable electricity in €/</w:t>
      </w:r>
      <w:r w:rsidR="00ED797B" w:rsidRPr="00670221">
        <w:rPr>
          <w:lang w:val="en-US"/>
        </w:rPr>
        <w:t>kWh</w:t>
      </w:r>
    </w:p>
    <w:p w14:paraId="5EFF4910" w14:textId="19A7CD6F" w:rsidR="00827665" w:rsidRPr="00670221" w:rsidRDefault="00597923" w:rsidP="00C25BA1">
      <w:pPr>
        <w:pStyle w:val="Heading4"/>
        <w:rPr>
          <w:lang w:val="en-US"/>
        </w:rPr>
      </w:pPr>
      <w:r w:rsidRPr="00670221">
        <w:rPr>
          <w:lang w:val="en-US"/>
        </w:rPr>
        <w:t>Calculation of variable OPEX</w:t>
      </w:r>
      <w:r w:rsidR="009144F3" w:rsidRPr="00670221">
        <w:rPr>
          <w:lang w:val="en-US"/>
        </w:rPr>
        <w:t>:</w:t>
      </w:r>
      <w:r w:rsidRPr="00670221">
        <w:rPr>
          <w:lang w:val="en-US"/>
        </w:rPr>
        <w:t xml:space="preserve"> DAC</w:t>
      </w:r>
    </w:p>
    <w:p w14:paraId="628DBDC3" w14:textId="77777777" w:rsidR="00AF61DB" w:rsidRPr="00670221" w:rsidRDefault="00AF61DB" w:rsidP="00597923">
      <w:pPr>
        <w:rPr>
          <w:lang w:val="en-US"/>
        </w:rPr>
      </w:pPr>
      <w:r w:rsidRPr="00670221">
        <w:rPr>
          <w:lang w:val="en-US"/>
        </w:rPr>
        <w:t>DAC systems use both electricity and thermal energy to capture CO₂ from the atmosphere. The Variable OPEX for DAC is the sum of the costs associated with the electrical energy and the thermal energy required for the process.</w:t>
      </w:r>
    </w:p>
    <w:p w14:paraId="76DCA7A9" w14:textId="5D94462D" w:rsidR="00597923" w:rsidRPr="00670221" w:rsidRDefault="00597923" w:rsidP="00597923">
      <w:pPr>
        <w:rPr>
          <w:rFonts w:eastAsiaTheme="minorEastAsia"/>
          <w:lang w:val="en-US"/>
        </w:rPr>
      </w:pPr>
      <m:oMathPara>
        <m:oMath>
          <m:r>
            <w:rPr>
              <w:rFonts w:ascii="Cambria Math" w:hAnsi="Cambria Math"/>
              <w:lang w:val="en-US"/>
            </w:rPr>
            <w:lastRenderedPageBreak/>
            <m:t>Variable OPEX= Electrical Energy Requirement*Electricity Price+Thermal Energy Requirment*Thermal Energy Price</m:t>
          </m:r>
        </m:oMath>
      </m:oMathPara>
    </w:p>
    <w:p w14:paraId="21FE81CC" w14:textId="06249974" w:rsidR="005506C3" w:rsidRPr="00670221" w:rsidRDefault="00D735A9" w:rsidP="00597923">
      <w:pPr>
        <w:rPr>
          <w:lang w:val="en-US"/>
        </w:rPr>
      </w:pPr>
      <w:r w:rsidRPr="00670221">
        <w:rPr>
          <w:lang w:val="en-US"/>
        </w:rPr>
        <w:t>The</w:t>
      </w:r>
      <w:r w:rsidR="0092519F" w:rsidRPr="00670221">
        <w:rPr>
          <w:lang w:val="en-US"/>
        </w:rPr>
        <w:t xml:space="preserve"> electrical</w:t>
      </w:r>
      <w:r w:rsidRPr="00670221">
        <w:rPr>
          <w:lang w:val="en-US"/>
        </w:rPr>
        <w:t xml:space="preserve"> </w:t>
      </w:r>
      <w:r w:rsidR="0092519F" w:rsidRPr="00670221">
        <w:rPr>
          <w:lang w:val="en-US"/>
        </w:rPr>
        <w:t xml:space="preserve">and thermal </w:t>
      </w:r>
      <w:r w:rsidRPr="00670221">
        <w:rPr>
          <w:lang w:val="en-US"/>
        </w:rPr>
        <w:t>requirements are driven by three key energy-consuming processes</w:t>
      </w:r>
      <w:r w:rsidR="0092519F" w:rsidRPr="00670221">
        <w:rPr>
          <w:lang w:val="en-US"/>
        </w:rPr>
        <w:t xml:space="preserve">. </w:t>
      </w:r>
      <w:r w:rsidR="005506C3" w:rsidRPr="00670221">
        <w:rPr>
          <w:lang w:val="en-US"/>
        </w:rPr>
        <w:t>CO₂ separation, sorbent regeneration, and air suction</w:t>
      </w:r>
      <w:r w:rsidR="0092519F" w:rsidRPr="00670221">
        <w:rPr>
          <w:lang w:val="en-US"/>
        </w:rPr>
        <w:t xml:space="preserve"> </w:t>
      </w:r>
      <w:r w:rsidR="005506C3" w:rsidRPr="00670221">
        <w:rPr>
          <w:lang w:val="en-US"/>
        </w:rPr>
        <w:t>represent the fundamental steps in capturing and isolating CO₂ from the atmosphere. Each process was calculated using thermodynamic and fluid dynamics principles.</w:t>
      </w:r>
    </w:p>
    <w:p w14:paraId="36071996" w14:textId="77777777" w:rsidR="00FF6EBA" w:rsidRPr="00670221" w:rsidRDefault="00FF6EBA" w:rsidP="00FF6EBA">
      <w:pPr>
        <w:pStyle w:val="Heading4"/>
        <w:rPr>
          <w:lang w:val="en-US"/>
        </w:rPr>
      </w:pPr>
      <w:r w:rsidRPr="00670221">
        <w:rPr>
          <w:lang w:val="en-US"/>
        </w:rPr>
        <w:t>CO2 Separation</w:t>
      </w:r>
    </w:p>
    <w:p w14:paraId="496D6177" w14:textId="77777777" w:rsidR="00FF6EBA" w:rsidRPr="00670221" w:rsidRDefault="00FF6EBA" w:rsidP="00FF6EBA">
      <w:pPr>
        <w:rPr>
          <w:lang w:val="en-US"/>
        </w:rPr>
      </w:pPr>
      <w:r w:rsidRPr="00670221">
        <w:rPr>
          <w:lang w:val="en-US"/>
        </w:rPr>
        <w:t>This step involves isolating CO₂ from a dilute air stream and calculating the minimum work required to separate CO2 from air. This can be described by the Gibbs free energy equation:</w:t>
      </w:r>
    </w:p>
    <w:p w14:paraId="0440E122" w14:textId="77777777" w:rsidR="00FF6EBA" w:rsidRPr="00670221" w:rsidRDefault="00FF6EBA" w:rsidP="00FF6EBA">
      <w:pPr>
        <w:rPr>
          <w:rFonts w:eastAsiaTheme="minorEastAsia"/>
          <w:lang w:val="en-US"/>
        </w:rPr>
      </w:pPr>
      <m:oMathPara>
        <m:oMath>
          <m:r>
            <w:rPr>
              <w:rFonts w:ascii="Cambria Math" w:hAnsi="Cambria Math"/>
              <w:lang w:val="en-US"/>
            </w:rPr>
            <m:t>W=R*T*</m:t>
          </m:r>
          <m:r>
            <m:rPr>
              <m:sty m:val="p"/>
            </m:rPr>
            <w:rPr>
              <w:rFonts w:ascii="Cambria Math" w:hAnsi="Cambria Math"/>
              <w:lang w:val="en-US"/>
            </w:rPr>
            <m:t>ln⁡</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X</m:t>
                  </m:r>
                </m:e>
                <m:sub>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sub>
              </m:sSub>
            </m:den>
          </m:f>
          <m:r>
            <w:rPr>
              <w:rFonts w:ascii="Cambria Math" w:hAnsi="Cambria Math"/>
              <w:lang w:val="en-US"/>
            </w:rPr>
            <m:t>)</m:t>
          </m:r>
        </m:oMath>
      </m:oMathPara>
    </w:p>
    <w:p w14:paraId="48099318" w14:textId="77777777" w:rsidR="00FF6EBA" w:rsidRPr="00670221" w:rsidRDefault="00FF6EBA" w:rsidP="00FF6EBA">
      <w:pPr>
        <w:rPr>
          <w:rFonts w:eastAsiaTheme="minorEastAsia"/>
          <w:lang w:val="en-US"/>
        </w:rPr>
      </w:pPr>
      <w:r w:rsidRPr="00670221">
        <w:rPr>
          <w:rFonts w:eastAsiaTheme="minorEastAsia"/>
          <w:lang w:val="en-US"/>
        </w:rPr>
        <w:t>Where:</w:t>
      </w:r>
    </w:p>
    <w:p w14:paraId="325CCCF9" w14:textId="77777777" w:rsidR="00FF6EBA" w:rsidRPr="00670221" w:rsidRDefault="00FF6EBA" w:rsidP="00FF6EBA">
      <w:pPr>
        <w:pStyle w:val="ListParagraph"/>
        <w:numPr>
          <w:ilvl w:val="0"/>
          <w:numId w:val="64"/>
        </w:numPr>
        <w:rPr>
          <w:lang w:val="en-US"/>
        </w:rPr>
      </w:pPr>
      <w:r w:rsidRPr="00670221">
        <w:rPr>
          <w:lang w:val="en-US"/>
        </w:rPr>
        <w:t>R = gas constant</w:t>
      </w:r>
    </w:p>
    <w:p w14:paraId="2D302A59" w14:textId="77777777" w:rsidR="00FF6EBA" w:rsidRPr="00670221" w:rsidRDefault="00FF6EBA" w:rsidP="00FF6EBA">
      <w:pPr>
        <w:pStyle w:val="ListParagraph"/>
        <w:numPr>
          <w:ilvl w:val="0"/>
          <w:numId w:val="64"/>
        </w:numPr>
        <w:rPr>
          <w:lang w:val="en-US"/>
        </w:rPr>
      </w:pPr>
      <w:r w:rsidRPr="00670221">
        <w:rPr>
          <w:lang w:val="en-US"/>
        </w:rPr>
        <w:t>T = temperature</w:t>
      </w:r>
    </w:p>
    <w:p w14:paraId="2BD57385" w14:textId="77777777" w:rsidR="00FF6EBA" w:rsidRPr="00670221" w:rsidRDefault="00FF6EBA" w:rsidP="00FF6EBA">
      <w:pPr>
        <w:pStyle w:val="ListParagraph"/>
        <w:numPr>
          <w:ilvl w:val="0"/>
          <w:numId w:val="64"/>
        </w:numPr>
        <w:rPr>
          <w:lang w:val="en-US"/>
        </w:rPr>
      </w:pPr>
      <w:r w:rsidRPr="00670221">
        <w:rPr>
          <w:lang w:val="en-US"/>
        </w:rPr>
        <w:t>X</w:t>
      </w:r>
      <w:r w:rsidRPr="00670221">
        <w:rPr>
          <w:vertAlign w:val="subscript"/>
          <w:lang w:val="en-US"/>
        </w:rPr>
        <w:t>CO2</w:t>
      </w:r>
      <w:r w:rsidRPr="00670221">
        <w:rPr>
          <w:lang w:val="en-US"/>
        </w:rPr>
        <w:t xml:space="preserve"> = molar fraction of CO2 in air</w:t>
      </w:r>
    </w:p>
    <w:p w14:paraId="217D1F74" w14:textId="77777777" w:rsidR="00FF6EBA" w:rsidRPr="00670221" w:rsidRDefault="00FF6EBA" w:rsidP="00FF6EBA">
      <w:pPr>
        <w:pStyle w:val="Heading4"/>
        <w:rPr>
          <w:rFonts w:asciiTheme="minorHAnsi" w:eastAsiaTheme="minorHAnsi" w:hAnsiTheme="minorHAnsi" w:cstheme="minorBidi"/>
          <w:i w:val="0"/>
          <w:iCs w:val="0"/>
          <w:color w:val="auto"/>
          <w:lang w:val="en-US"/>
        </w:rPr>
      </w:pPr>
      <w:r w:rsidRPr="00670221">
        <w:rPr>
          <w:lang w:val="en-US"/>
        </w:rPr>
        <w:t>Sorbent Regeneration</w:t>
      </w:r>
    </w:p>
    <w:p w14:paraId="582C7A1C" w14:textId="77777777" w:rsidR="00FF6EBA" w:rsidRPr="00670221" w:rsidRDefault="00FF6EBA" w:rsidP="00FF6EBA">
      <w:pPr>
        <w:rPr>
          <w:lang w:val="en-US"/>
        </w:rPr>
      </w:pPr>
      <w:r w:rsidRPr="00670221">
        <w:rPr>
          <w:lang w:val="en-US"/>
        </w:rPr>
        <w:t>After capturing CO₂, sorbents must be regenerated to allow further capture cycles. This process calculated the energy needed to regenerate the sorbent using the enthalpy of desorption:</w:t>
      </w:r>
    </w:p>
    <w:p w14:paraId="3D555D43" w14:textId="7A538152" w:rsidR="00FF6EBA" w:rsidRPr="00670221" w:rsidRDefault="00FF6EBA" w:rsidP="00FF6EBA">
      <w:pPr>
        <w:rPr>
          <w:rFonts w:eastAsiaTheme="minorEastAsia"/>
          <w:lang w:val="en-US"/>
        </w:rPr>
      </w:pPr>
      <m:oMathPara>
        <m:oMath>
          <m:r>
            <w:rPr>
              <w:rFonts w:ascii="Cambria Math" w:hAnsi="Cambria Math"/>
              <w:lang w:val="en-US"/>
            </w:rPr>
            <m:t xml:space="preserve">Q=mol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r>
            <w:rPr>
              <w:rFonts w:ascii="Cambria Math" w:hAnsi="Cambria Math"/>
              <w:lang w:val="en-US"/>
            </w:rPr>
            <m:t>*desorption enthalpy</m:t>
          </m:r>
        </m:oMath>
      </m:oMathPara>
    </w:p>
    <w:p w14:paraId="0EE7AC0F" w14:textId="77777777" w:rsidR="00FF6EBA" w:rsidRPr="00670221" w:rsidRDefault="00FF6EBA" w:rsidP="00FF6EBA">
      <w:pPr>
        <w:rPr>
          <w:lang w:val="en-US"/>
        </w:rPr>
      </w:pPr>
      <w:r w:rsidRPr="00670221">
        <w:rPr>
          <w:lang w:val="en-US"/>
        </w:rPr>
        <w:t>Where:</w:t>
      </w:r>
    </w:p>
    <w:p w14:paraId="68C07152" w14:textId="575CD4D2" w:rsidR="00FF6EBA" w:rsidRPr="00670221" w:rsidRDefault="00FF6EBA" w:rsidP="00FF6EBA">
      <w:pPr>
        <w:pStyle w:val="ListParagraph"/>
        <w:numPr>
          <w:ilvl w:val="0"/>
          <w:numId w:val="65"/>
        </w:numPr>
        <w:rPr>
          <w:lang w:val="en-US"/>
        </w:rPr>
      </w:pPr>
      <w:r w:rsidRPr="00670221">
        <w:rPr>
          <w:lang w:val="en-US"/>
        </w:rPr>
        <w:t xml:space="preserve">Mol CO2 = number of moles per kg </w:t>
      </w:r>
      <w:r w:rsidR="00410DC1" w:rsidRPr="00670221">
        <w:rPr>
          <w:lang w:val="en-US"/>
        </w:rPr>
        <w:t>CO₂</w:t>
      </w:r>
    </w:p>
    <w:p w14:paraId="39C847A2" w14:textId="042A91E3" w:rsidR="00FF6EBA" w:rsidRPr="00670221" w:rsidRDefault="00FF6EBA" w:rsidP="00FF6EBA">
      <w:pPr>
        <w:pStyle w:val="ListParagraph"/>
        <w:numPr>
          <w:ilvl w:val="0"/>
          <w:numId w:val="65"/>
        </w:numPr>
        <w:rPr>
          <w:lang w:val="en-US"/>
        </w:rPr>
      </w:pPr>
      <w:r w:rsidRPr="00670221">
        <w:rPr>
          <w:lang w:val="en-US"/>
        </w:rPr>
        <w:t xml:space="preserve">Desorption enthalpy = energy needed to release </w:t>
      </w:r>
      <w:r w:rsidR="00410DC1" w:rsidRPr="00670221">
        <w:rPr>
          <w:lang w:val="en-US"/>
        </w:rPr>
        <w:t xml:space="preserve">CO₂ </w:t>
      </w:r>
      <w:r w:rsidRPr="00670221">
        <w:rPr>
          <w:lang w:val="en-US"/>
        </w:rPr>
        <w:t>from sorbent material</w:t>
      </w:r>
    </w:p>
    <w:p w14:paraId="3EE18033" w14:textId="4C4EC00D" w:rsidR="008718F1" w:rsidRPr="00670221" w:rsidRDefault="008718F1" w:rsidP="008718F1">
      <w:pPr>
        <w:rPr>
          <w:lang w:val="en-US"/>
        </w:rPr>
      </w:pPr>
      <w:r w:rsidRPr="00670221">
        <w:rPr>
          <w:lang w:val="en-US"/>
        </w:rPr>
        <w:t xml:space="preserve">The desorption enthalpy is a material specific property because it reflects the energy required to break the bonds between the sorbent and the </w:t>
      </w:r>
      <w:proofErr w:type="spellStart"/>
      <w:r w:rsidR="00410DC1" w:rsidRPr="00670221">
        <w:rPr>
          <w:lang w:val="en-US"/>
        </w:rPr>
        <w:t>CO₂</w:t>
      </w:r>
      <w:r w:rsidRPr="00670221">
        <w:rPr>
          <w:lang w:val="en-US"/>
        </w:rPr>
        <w:t>molecules</w:t>
      </w:r>
      <w:proofErr w:type="spellEnd"/>
      <w:r w:rsidRPr="00670221">
        <w:rPr>
          <w:lang w:val="en-US"/>
        </w:rPr>
        <w:t>. The sorbent used by Skytree has a desorption enthalpy of 85 kJ/mol, which is in line with the average of 80 kJ/mol for amine-modified materials (Shi et al., 2022).</w:t>
      </w:r>
    </w:p>
    <w:p w14:paraId="2B7994B8" w14:textId="77777777" w:rsidR="00FF6EBA" w:rsidRPr="00670221" w:rsidRDefault="00FF6EBA" w:rsidP="00FF6EBA">
      <w:pPr>
        <w:pStyle w:val="Heading4"/>
        <w:rPr>
          <w:lang w:val="en-US"/>
        </w:rPr>
      </w:pPr>
      <w:r w:rsidRPr="00670221">
        <w:rPr>
          <w:lang w:val="en-US"/>
        </w:rPr>
        <w:t>Air Suction</w:t>
      </w:r>
    </w:p>
    <w:p w14:paraId="724B24FE" w14:textId="77777777" w:rsidR="00FF6EBA" w:rsidRPr="00670221" w:rsidRDefault="00FF6EBA" w:rsidP="00FF6EBA">
      <w:pPr>
        <w:rPr>
          <w:lang w:val="en-US"/>
        </w:rPr>
      </w:pPr>
      <w:r w:rsidRPr="00670221">
        <w:rPr>
          <w:lang w:val="en-US"/>
        </w:rPr>
        <w:t>To capture CO₂, a large volume of air needs to be processed due to the low concentration of CO₂. This formula quantifies the energy needed to operate the fans or compressors that move the required air volume, making air handling a critical energy-intensive step in DAC. The energy cost is dominated by the pressure drop across the system and the flow rate needed to push air through the system, calculated using fluid dynamics principles:</w:t>
      </w:r>
    </w:p>
    <w:p w14:paraId="47D70F6C" w14:textId="77777777" w:rsidR="00FF6EBA" w:rsidRPr="00670221" w:rsidRDefault="00FF6EBA" w:rsidP="00FF6EBA">
      <w:pPr>
        <w:rPr>
          <w:rFonts w:eastAsiaTheme="minorEastAsia"/>
          <w:lang w:val="en-US"/>
        </w:rPr>
      </w:pPr>
      <m:oMathPara>
        <m:oMath>
          <m:r>
            <w:rPr>
              <w:rFonts w:ascii="Cambria Math" w:hAnsi="Cambria Math"/>
              <w:lang w:val="en-US"/>
            </w:rPr>
            <m:t>P=</m:t>
          </m:r>
          <m:f>
            <m:fPr>
              <m:ctrlPr>
                <w:rPr>
                  <w:rFonts w:ascii="Cambria Math" w:hAnsi="Cambria Math"/>
                  <w:i/>
                  <w:lang w:val="en-US"/>
                </w:rPr>
              </m:ctrlPr>
            </m:fPr>
            <m:num>
              <m:r>
                <w:rPr>
                  <w:rFonts w:ascii="Cambria Math" w:hAnsi="Cambria Math"/>
                  <w:lang w:val="en-US"/>
                </w:rPr>
                <m:t>pressure drop*flow rate</m:t>
              </m:r>
            </m:num>
            <m:den>
              <m:r>
                <w:rPr>
                  <w:rFonts w:ascii="Cambria Math" w:hAnsi="Cambria Math"/>
                  <w:lang w:val="en-US"/>
                </w:rPr>
                <m:t>fan efficiency</m:t>
              </m:r>
            </m:den>
          </m:f>
        </m:oMath>
      </m:oMathPara>
    </w:p>
    <w:p w14:paraId="20777256" w14:textId="77777777" w:rsidR="00FF6EBA" w:rsidRPr="00670221" w:rsidRDefault="00FF6EBA" w:rsidP="00FF6EBA">
      <w:pPr>
        <w:rPr>
          <w:rFonts w:eastAsiaTheme="minorEastAsia"/>
          <w:lang w:val="en-US"/>
        </w:rPr>
      </w:pPr>
      <w:r w:rsidRPr="00670221">
        <w:rPr>
          <w:rFonts w:eastAsiaTheme="minorEastAsia"/>
          <w:lang w:val="en-US"/>
        </w:rPr>
        <w:t>Where:</w:t>
      </w:r>
    </w:p>
    <w:p w14:paraId="216A0764" w14:textId="77777777" w:rsidR="00FF6EBA" w:rsidRPr="00670221" w:rsidRDefault="00FF6EBA" w:rsidP="00FF6EBA">
      <w:pPr>
        <w:pStyle w:val="ListParagraph"/>
        <w:numPr>
          <w:ilvl w:val="0"/>
          <w:numId w:val="66"/>
        </w:numPr>
        <w:rPr>
          <w:rFonts w:eastAsiaTheme="minorEastAsia"/>
          <w:lang w:val="en-US"/>
        </w:rPr>
      </w:pPr>
      <w:r w:rsidRPr="00670221">
        <w:rPr>
          <w:rFonts w:eastAsiaTheme="minorEastAsia"/>
          <w:lang w:val="en-US"/>
        </w:rPr>
        <w:t>Pressure drop = pressure difference required to force air through the system</w:t>
      </w:r>
    </w:p>
    <w:p w14:paraId="7BAA3901" w14:textId="49FA982C" w:rsidR="00FF6EBA" w:rsidRPr="00670221" w:rsidRDefault="00FF6EBA" w:rsidP="00FF6EBA">
      <w:pPr>
        <w:pStyle w:val="ListParagraph"/>
        <w:numPr>
          <w:ilvl w:val="0"/>
          <w:numId w:val="66"/>
        </w:numPr>
        <w:rPr>
          <w:rFonts w:eastAsiaTheme="minorEastAsia"/>
          <w:lang w:val="en-US"/>
        </w:rPr>
      </w:pPr>
      <w:r w:rsidRPr="00670221">
        <w:rPr>
          <w:rFonts w:eastAsiaTheme="minorEastAsia"/>
          <w:lang w:val="en-US"/>
        </w:rPr>
        <w:t xml:space="preserve">Flow rate = volume of air required to capture 1 kg of </w:t>
      </w:r>
      <w:r w:rsidR="00410DC1" w:rsidRPr="00670221">
        <w:rPr>
          <w:lang w:val="en-US"/>
        </w:rPr>
        <w:t>CO₂</w:t>
      </w:r>
    </w:p>
    <w:p w14:paraId="4C59C59C" w14:textId="195CAD83" w:rsidR="00FF6EBA" w:rsidRPr="00670221" w:rsidRDefault="00FF6EBA" w:rsidP="00FF6EBA">
      <w:pPr>
        <w:pStyle w:val="ListParagraph"/>
        <w:numPr>
          <w:ilvl w:val="0"/>
          <w:numId w:val="66"/>
        </w:numPr>
        <w:rPr>
          <w:rFonts w:eastAsiaTheme="minorEastAsia"/>
          <w:lang w:val="en-US"/>
        </w:rPr>
      </w:pPr>
      <w:r w:rsidRPr="00670221">
        <w:rPr>
          <w:rFonts w:eastAsiaTheme="minorEastAsia"/>
          <w:lang w:val="en-US"/>
        </w:rPr>
        <w:t xml:space="preserve">Fan efficiency = </w:t>
      </w:r>
      <w:r w:rsidR="00D029B4" w:rsidRPr="00670221">
        <w:rPr>
          <w:rFonts w:eastAsiaTheme="minorEastAsia"/>
          <w:lang w:val="en-US"/>
        </w:rPr>
        <w:t>efficiency</w:t>
      </w:r>
      <w:r w:rsidRPr="00670221">
        <w:rPr>
          <w:rFonts w:eastAsiaTheme="minorEastAsia"/>
          <w:lang w:val="en-US"/>
        </w:rPr>
        <w:t xml:space="preserve"> of fan moving the air</w:t>
      </w:r>
    </w:p>
    <w:p w14:paraId="59C05C15" w14:textId="4FFCFD4A" w:rsidR="00D029B4" w:rsidRPr="00670221" w:rsidRDefault="009144F3" w:rsidP="00D029B4">
      <w:pPr>
        <w:rPr>
          <w:rFonts w:eastAsiaTheme="minorEastAsia"/>
          <w:lang w:val="en-US"/>
        </w:rPr>
      </w:pPr>
      <w:r w:rsidRPr="00670221">
        <w:rPr>
          <w:rFonts w:eastAsiaTheme="minorEastAsia"/>
          <w:lang w:val="en-US"/>
        </w:rPr>
        <w:lastRenderedPageBreak/>
        <w:t>Each of these processes was modeled using thermodynamic and fluid dynamics principles, ensuring accurate calculations of energy consumption, which is expected to decrease over time.</w:t>
      </w:r>
    </w:p>
    <w:p w14:paraId="2BF3745B" w14:textId="50A272E8" w:rsidR="00723F4B" w:rsidRPr="00670221" w:rsidRDefault="00723F4B" w:rsidP="001501AA">
      <w:pPr>
        <w:pStyle w:val="Heading4"/>
        <w:rPr>
          <w:lang w:val="en-US"/>
        </w:rPr>
      </w:pPr>
      <w:r w:rsidRPr="00670221">
        <w:rPr>
          <w:lang w:val="en-US"/>
        </w:rPr>
        <w:t>Calculation of Annual Throughput</w:t>
      </w:r>
    </w:p>
    <w:p w14:paraId="35C39D74" w14:textId="77777777" w:rsidR="00723F4B" w:rsidRPr="00670221" w:rsidRDefault="00723F4B" w:rsidP="00723F4B">
      <w:pPr>
        <w:rPr>
          <w:lang w:val="en-US"/>
        </w:rPr>
      </w:pPr>
      <w:r w:rsidRPr="00670221">
        <w:rPr>
          <w:lang w:val="en-US"/>
        </w:rPr>
        <w:t>The annual throughput, or the total output of a given component, was calculated based on operational hours or days per year and, in some cases, efficiency. The formula for annual throughput is:</w:t>
      </w:r>
    </w:p>
    <w:p w14:paraId="2C7C3AAE" w14:textId="77777777" w:rsidR="00723F4B" w:rsidRPr="00670221" w:rsidRDefault="00723F4B" w:rsidP="00723F4B">
      <w:pPr>
        <w:jc w:val="center"/>
        <w:rPr>
          <w:rFonts w:eastAsiaTheme="minorEastAsia"/>
          <w:lang w:val="en-US"/>
        </w:rPr>
      </w:pPr>
      <m:oMath>
        <m:r>
          <w:rPr>
            <w:rFonts w:ascii="Cambria Math" w:hAnsi="Cambria Math"/>
            <w:lang w:val="en-US"/>
          </w:rPr>
          <m:t>Annual Throughput</m:t>
        </m:r>
      </m:oMath>
      <w:r w:rsidRPr="00670221">
        <w:rPr>
          <w:rFonts w:eastAsiaTheme="minorEastAsia"/>
          <w:lang w:val="en-US"/>
        </w:rPr>
        <w:t xml:space="preserve"> = </w:t>
      </w:r>
      <m:oMath>
        <m:r>
          <w:rPr>
            <w:rFonts w:ascii="Cambria Math" w:hAnsi="Cambria Math"/>
            <w:lang w:val="en-US"/>
          </w:rPr>
          <m:t>Operation Capacity*Operational hours per day*Operational days per year*Efficiency</m:t>
        </m:r>
      </m:oMath>
    </w:p>
    <w:p w14:paraId="34E3E4AD" w14:textId="77777777" w:rsidR="00723F4B" w:rsidRPr="00670221" w:rsidRDefault="00723F4B" w:rsidP="00723F4B">
      <w:pPr>
        <w:rPr>
          <w:lang w:val="en-US"/>
        </w:rPr>
      </w:pPr>
      <w:r w:rsidRPr="00670221">
        <w:rPr>
          <w:lang w:val="en-US"/>
        </w:rPr>
        <w:t>where:</w:t>
      </w:r>
    </w:p>
    <w:p w14:paraId="25C894EB" w14:textId="77777777" w:rsidR="00723F4B" w:rsidRPr="00670221" w:rsidRDefault="00723F4B" w:rsidP="00100D5D">
      <w:pPr>
        <w:pStyle w:val="ListParagraph"/>
        <w:numPr>
          <w:ilvl w:val="0"/>
          <w:numId w:val="19"/>
        </w:numPr>
        <w:rPr>
          <w:lang w:val="en-US"/>
        </w:rPr>
      </w:pPr>
      <w:r w:rsidRPr="00670221">
        <w:rPr>
          <w:lang w:val="en-US"/>
        </w:rPr>
        <w:t>Operational Capacity = maximum output capacity of the production facility (e.g., kg of hydrogen per hour).</w:t>
      </w:r>
    </w:p>
    <w:p w14:paraId="48AC177B" w14:textId="7E4C8124" w:rsidR="00723F4B" w:rsidRPr="00670221" w:rsidRDefault="00723F4B" w:rsidP="00723F4B">
      <w:pPr>
        <w:rPr>
          <w:lang w:val="en-US"/>
        </w:rPr>
      </w:pPr>
      <w:r w:rsidRPr="00670221">
        <w:rPr>
          <w:lang w:val="en-US"/>
        </w:rPr>
        <w:t>This step is crucial as it determines the denominator in the calculation of the levelized cost per unit.</w:t>
      </w:r>
    </w:p>
    <w:p w14:paraId="0D0DA16E" w14:textId="7050496B" w:rsidR="00723F4B" w:rsidRPr="00670221" w:rsidRDefault="00723F4B" w:rsidP="001501AA">
      <w:pPr>
        <w:pStyle w:val="Heading4"/>
        <w:rPr>
          <w:lang w:val="en-US"/>
        </w:rPr>
      </w:pPr>
      <w:r w:rsidRPr="00670221">
        <w:rPr>
          <w:lang w:val="en-US"/>
        </w:rPr>
        <w:t>Calculation of Levelized Cost of Each Component</w:t>
      </w:r>
    </w:p>
    <w:p w14:paraId="116FD0D7" w14:textId="09AB785D" w:rsidR="009A6B20" w:rsidRPr="00670221" w:rsidRDefault="00723F4B" w:rsidP="00723F4B">
      <w:pPr>
        <w:rPr>
          <w:lang w:val="en-US"/>
        </w:rPr>
      </w:pPr>
      <w:r w:rsidRPr="00670221">
        <w:rPr>
          <w:lang w:val="en-US"/>
        </w:rPr>
        <w:t>The Levelized Cost of each component was then calculated by summing the annualized CAPEX and OPEX and dividing by the annual output or throughput of that component:</w:t>
      </w:r>
    </w:p>
    <w:p w14:paraId="724B578A" w14:textId="18385727" w:rsidR="00723F4B" w:rsidRPr="00670221" w:rsidRDefault="00723F4B" w:rsidP="00723F4B">
      <w:pPr>
        <w:rPr>
          <w:lang w:val="en-US"/>
        </w:rPr>
      </w:pPr>
      <m:oMathPara>
        <m:oMath>
          <m:r>
            <w:rPr>
              <w:rFonts w:ascii="Cambria Math" w:hAnsi="Cambria Math"/>
              <w:lang w:val="en-US"/>
            </w:rPr>
            <m:t>Levelized Cost of Component=</m:t>
          </m:r>
          <m:f>
            <m:fPr>
              <m:ctrlPr>
                <w:rPr>
                  <w:rFonts w:ascii="Cambria Math" w:hAnsi="Cambria Math"/>
                  <w:i/>
                  <w:lang w:val="en-US"/>
                </w:rPr>
              </m:ctrlPr>
            </m:fPr>
            <m:num>
              <m:r>
                <w:rPr>
                  <w:rFonts w:ascii="Cambria Math" w:hAnsi="Cambria Math"/>
                  <w:lang w:val="en-US"/>
                </w:rPr>
                <m:t>Annualized CAPEX+Annualized OPEX</m:t>
              </m:r>
            </m:num>
            <m:den>
              <m:r>
                <w:rPr>
                  <w:rFonts w:ascii="Cambria Math" w:hAnsi="Cambria Math"/>
                  <w:lang w:val="en-US"/>
                </w:rPr>
                <m:t xml:space="preserve">Annual Output (e.g., kg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m:t>
              </m:r>
            </m:den>
          </m:f>
        </m:oMath>
      </m:oMathPara>
    </w:p>
    <w:p w14:paraId="4F6A2AC4" w14:textId="666DDBF9" w:rsidR="00723F4B" w:rsidRPr="00670221" w:rsidRDefault="00723F4B" w:rsidP="001501AA">
      <w:pPr>
        <w:pStyle w:val="Heading4"/>
        <w:rPr>
          <w:lang w:val="en-US"/>
        </w:rPr>
      </w:pPr>
      <w:r w:rsidRPr="00670221">
        <w:rPr>
          <w:lang w:val="en-US"/>
        </w:rPr>
        <w:t>Calculation of Levelized Cost of SAF</w:t>
      </w:r>
    </w:p>
    <w:p w14:paraId="36F76EC1" w14:textId="5E126106" w:rsidR="00723F4B" w:rsidRPr="00670221" w:rsidRDefault="00723F4B" w:rsidP="00723F4B">
      <w:pPr>
        <w:rPr>
          <w:lang w:val="en-US"/>
        </w:rPr>
      </w:pPr>
      <w:r w:rsidRPr="00670221">
        <w:rPr>
          <w:lang w:val="en-US"/>
        </w:rPr>
        <w:t>To obtain the Levelized Cost of SAF, the levelized costs of all components were combined. Specifically, for each liter of SAF produced, the levelized cost of each required component was multiplied by the amount of that component needed to produce one liter of SAF.</w:t>
      </w:r>
    </w:p>
    <w:p w14:paraId="4D60BBE0" w14:textId="022118AC" w:rsidR="00723F4B" w:rsidRPr="00670221" w:rsidRDefault="00723F4B" w:rsidP="00723F4B">
      <w:pPr>
        <w:rPr>
          <w:rFonts w:eastAsiaTheme="minorEastAsia"/>
          <w:sz w:val="22"/>
          <w:szCs w:val="22"/>
          <w:lang w:val="en-US"/>
        </w:rPr>
      </w:pPr>
      <m:oMathPara>
        <m:oMath>
          <m:r>
            <w:rPr>
              <w:rFonts w:ascii="Cambria Math" w:hAnsi="Cambria Math"/>
              <w:sz w:val="22"/>
              <w:szCs w:val="22"/>
              <w:lang w:val="en-US"/>
            </w:rPr>
            <m:t xml:space="preserve">LCOF </m:t>
          </m:r>
          <m:d>
            <m:dPr>
              <m:ctrlPr>
                <w:rPr>
                  <w:rFonts w:ascii="Cambria Math" w:hAnsi="Cambria Math"/>
                  <w:i/>
                  <w:sz w:val="22"/>
                  <w:szCs w:val="22"/>
                  <w:lang w:val="en-US"/>
                </w:rPr>
              </m:ctrlPr>
            </m:dPr>
            <m:e>
              <m:r>
                <w:rPr>
                  <w:rFonts w:ascii="Cambria Math" w:hAnsi="Cambria Math"/>
                  <w:sz w:val="22"/>
                  <w:szCs w:val="22"/>
                  <w:lang w:val="en-US"/>
                </w:rPr>
                <m:t>SAF</m:t>
              </m:r>
            </m:e>
          </m:d>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i=1</m:t>
              </m:r>
            </m:sub>
            <m:sup>
              <m:r>
                <w:rPr>
                  <w:rFonts w:ascii="Cambria Math" w:hAnsi="Cambria Math"/>
                  <w:sz w:val="22"/>
                  <w:szCs w:val="22"/>
                  <w:lang w:val="en-US"/>
                </w:rPr>
                <m:t>n</m:t>
              </m:r>
            </m:sup>
            <m:e>
              <m:r>
                <w:rPr>
                  <w:rFonts w:ascii="Cambria Math" w:hAnsi="Cambria Math"/>
                  <w:sz w:val="22"/>
                  <w:szCs w:val="22"/>
                  <w:lang w:val="en-US"/>
                </w:rPr>
                <m:t>(</m:t>
              </m:r>
            </m:e>
          </m:nary>
          <m:r>
            <w:rPr>
              <w:rFonts w:ascii="Cambria Math" w:hAnsi="Cambria Math"/>
              <w:sz w:val="22"/>
              <w:szCs w:val="22"/>
              <w:lang w:val="en-US"/>
            </w:rPr>
            <m:t xml:space="preserve">Levelized Cost of </m:t>
          </m:r>
          <m:sSub>
            <m:sSubPr>
              <m:ctrlPr>
                <w:rPr>
                  <w:rFonts w:ascii="Cambria Math" w:hAnsi="Cambria Math"/>
                  <w:i/>
                  <w:sz w:val="22"/>
                  <w:szCs w:val="22"/>
                  <w:lang w:val="en-US"/>
                </w:rPr>
              </m:ctrlPr>
            </m:sSubPr>
            <m:e>
              <m:r>
                <w:rPr>
                  <w:rFonts w:ascii="Cambria Math" w:hAnsi="Cambria Math"/>
                  <w:sz w:val="22"/>
                  <w:szCs w:val="22"/>
                  <w:lang w:val="en-US"/>
                </w:rPr>
                <m:t>Component</m:t>
              </m:r>
            </m:e>
            <m:sub>
              <m:r>
                <w:rPr>
                  <w:rFonts w:ascii="Cambria Math" w:hAnsi="Cambria Math"/>
                  <w:sz w:val="22"/>
                  <w:szCs w:val="22"/>
                  <w:lang w:val="en-US"/>
                </w:rPr>
                <m:t>i</m:t>
              </m:r>
            </m:sub>
          </m:sSub>
          <m:r>
            <w:rPr>
              <w:rFonts w:ascii="Cambria Math" w:hAnsi="Cambria Math"/>
              <w:sz w:val="22"/>
              <w:szCs w:val="22"/>
              <w:lang w:val="en-US"/>
            </w:rPr>
            <m:t xml:space="preserve">*Quantity of </m:t>
          </m:r>
          <m:sSub>
            <m:sSubPr>
              <m:ctrlPr>
                <w:rPr>
                  <w:rFonts w:ascii="Cambria Math" w:hAnsi="Cambria Math"/>
                  <w:i/>
                  <w:sz w:val="22"/>
                  <w:szCs w:val="22"/>
                  <w:lang w:val="en-US"/>
                </w:rPr>
              </m:ctrlPr>
            </m:sSubPr>
            <m:e>
              <m:r>
                <w:rPr>
                  <w:rFonts w:ascii="Cambria Math" w:hAnsi="Cambria Math"/>
                  <w:sz w:val="22"/>
                  <w:szCs w:val="22"/>
                  <w:lang w:val="en-US"/>
                </w:rPr>
                <m:t>Component</m:t>
              </m:r>
            </m:e>
            <m:sub>
              <m:r>
                <w:rPr>
                  <w:rFonts w:ascii="Cambria Math" w:hAnsi="Cambria Math"/>
                  <w:sz w:val="22"/>
                  <w:szCs w:val="22"/>
                  <w:lang w:val="en-US"/>
                </w:rPr>
                <m:t>i</m:t>
              </m:r>
            </m:sub>
          </m:sSub>
          <m:r>
            <w:rPr>
              <w:rFonts w:ascii="Cambria Math" w:hAnsi="Cambria Math"/>
              <w:sz w:val="22"/>
              <w:szCs w:val="22"/>
              <w:lang w:val="en-US"/>
            </w:rPr>
            <m:t xml:space="preserve"> /liter SAF)</m:t>
          </m:r>
        </m:oMath>
      </m:oMathPara>
    </w:p>
    <w:p w14:paraId="13147172" w14:textId="77777777" w:rsidR="00723F4B" w:rsidRPr="00670221" w:rsidRDefault="00723F4B" w:rsidP="00723F4B">
      <w:pPr>
        <w:rPr>
          <w:lang w:val="en-US"/>
        </w:rPr>
      </w:pPr>
      <w:r w:rsidRPr="00670221">
        <w:rPr>
          <w:lang w:val="en-US"/>
        </w:rPr>
        <w:t>Where:</w:t>
      </w:r>
    </w:p>
    <w:p w14:paraId="1126074D" w14:textId="4ABC2AC4" w:rsidR="00DF44CB" w:rsidRPr="00670221" w:rsidRDefault="00723F4B" w:rsidP="00BC772C">
      <w:pPr>
        <w:pStyle w:val="ListParagraph"/>
        <w:numPr>
          <w:ilvl w:val="0"/>
          <w:numId w:val="19"/>
        </w:numPr>
        <w:rPr>
          <w:lang w:val="en-US"/>
        </w:rPr>
      </w:pPr>
      <w:r w:rsidRPr="00670221">
        <w:rPr>
          <w:lang w:val="en-US"/>
        </w:rPr>
        <w:t>n = number of different components required for SAF production.</w:t>
      </w:r>
      <w:r w:rsidR="00DF44CB" w:rsidRPr="00670221">
        <w:rPr>
          <w:lang w:val="en-US"/>
        </w:rPr>
        <w:br w:type="page"/>
      </w:r>
    </w:p>
    <w:p w14:paraId="12110389" w14:textId="62DE580C" w:rsidR="00487851" w:rsidRPr="00670221" w:rsidRDefault="00A8333D" w:rsidP="00487851">
      <w:pPr>
        <w:pStyle w:val="Heading1"/>
      </w:pPr>
      <w:bookmarkStart w:id="43" w:name="_Toc184403427"/>
      <w:r w:rsidRPr="00670221">
        <w:lastRenderedPageBreak/>
        <w:t>Results</w:t>
      </w:r>
      <w:r w:rsidR="00DF44CB" w:rsidRPr="00670221">
        <w:t>:</w:t>
      </w:r>
      <w:r w:rsidRPr="00670221">
        <w:t xml:space="preserve"> </w:t>
      </w:r>
      <w:r w:rsidR="00487851" w:rsidRPr="00670221">
        <w:t>Socio-</w:t>
      </w:r>
      <w:r w:rsidR="00DA3577" w:rsidRPr="00670221">
        <w:t>T</w:t>
      </w:r>
      <w:r w:rsidR="00487851" w:rsidRPr="00670221">
        <w:t>echnical Analysis</w:t>
      </w:r>
      <w:bookmarkEnd w:id="43"/>
    </w:p>
    <w:p w14:paraId="179C5BB8" w14:textId="77777777" w:rsidR="008C40BD" w:rsidRPr="00670221" w:rsidRDefault="008C40BD" w:rsidP="00456C10">
      <w:pPr>
        <w:rPr>
          <w:lang w:val="en-US"/>
        </w:rPr>
      </w:pPr>
    </w:p>
    <w:p w14:paraId="04D4909D" w14:textId="21319EA2" w:rsidR="00456C10" w:rsidRPr="00670221" w:rsidRDefault="00456C10" w:rsidP="00456C10">
      <w:pPr>
        <w:rPr>
          <w:lang w:val="en-US"/>
        </w:rPr>
      </w:pPr>
      <w:r w:rsidRPr="00670221">
        <w:rPr>
          <w:lang w:val="en-US"/>
        </w:rPr>
        <w:t xml:space="preserve">The results section of the </w:t>
      </w:r>
      <w:r w:rsidR="00744EC6" w:rsidRPr="00670221">
        <w:rPr>
          <w:lang w:val="en-US"/>
        </w:rPr>
        <w:t>s</w:t>
      </w:r>
      <w:r w:rsidRPr="00670221">
        <w:rPr>
          <w:lang w:val="en-US"/>
        </w:rPr>
        <w:t>ocio-</w:t>
      </w:r>
      <w:r w:rsidR="00744EC6" w:rsidRPr="00670221">
        <w:rPr>
          <w:lang w:val="en-US"/>
        </w:rPr>
        <w:t>t</w:t>
      </w:r>
      <w:r w:rsidRPr="00670221">
        <w:rPr>
          <w:lang w:val="en-US"/>
        </w:rPr>
        <w:t xml:space="preserve">echnical </w:t>
      </w:r>
      <w:r w:rsidR="00744EC6" w:rsidRPr="00670221">
        <w:rPr>
          <w:lang w:val="en-US"/>
        </w:rPr>
        <w:t>a</w:t>
      </w:r>
      <w:r w:rsidRPr="00670221">
        <w:rPr>
          <w:lang w:val="en-US"/>
        </w:rPr>
        <w:t xml:space="preserve">nalysis addresses the first sub-question: </w:t>
      </w:r>
      <w:r w:rsidR="00697574" w:rsidRPr="00697574">
        <w:rPr>
          <w:b/>
          <w:bCs/>
          <w:lang w:val="en-US"/>
        </w:rPr>
        <w:t>Which sustainable aviation fuel (SAF) technologies are promising for short-term viability in the EU, considering the current socio-technical system?</w:t>
      </w:r>
      <w:r w:rsidR="00697574">
        <w:rPr>
          <w:b/>
          <w:bCs/>
          <w:lang w:val="en-US"/>
        </w:rPr>
        <w:t xml:space="preserve"> </w:t>
      </w:r>
      <w:r w:rsidRPr="00670221">
        <w:rPr>
          <w:lang w:val="en-US"/>
        </w:rPr>
        <w:t>This analysis is grounded in the Technological Innovation System framework, which was used to systematically explore technological pathways, key actors, institutions, and networks influencing SAF development within the European Union. Through a literature review, technologi</w:t>
      </w:r>
      <w:r w:rsidR="00994566" w:rsidRPr="00670221">
        <w:rPr>
          <w:lang w:val="en-US"/>
        </w:rPr>
        <w:t xml:space="preserve">es </w:t>
      </w:r>
      <w:r w:rsidRPr="00670221">
        <w:rPr>
          <w:lang w:val="en-US"/>
        </w:rPr>
        <w:t xml:space="preserve">were mapped to assess approaches to energy, hydrogen, and fuel production, as well as to identify the main </w:t>
      </w:r>
      <w:r w:rsidR="00835AF1" w:rsidRPr="00670221">
        <w:rPr>
          <w:lang w:val="en-US"/>
        </w:rPr>
        <w:t>stakeholders</w:t>
      </w:r>
      <w:r w:rsidRPr="00670221">
        <w:rPr>
          <w:lang w:val="en-US"/>
        </w:rPr>
        <w:t xml:space="preserve"> in each value chain step.</w:t>
      </w:r>
      <w:r w:rsidR="008D6A94" w:rsidRPr="00670221">
        <w:rPr>
          <w:lang w:val="en-US"/>
        </w:rPr>
        <w:t xml:space="preserve"> Different analyses were executed to </w:t>
      </w:r>
      <w:r w:rsidR="00E21BA7" w:rsidRPr="00670221">
        <w:rPr>
          <w:lang w:val="en-US"/>
        </w:rPr>
        <w:t xml:space="preserve">develop </w:t>
      </w:r>
      <w:r w:rsidR="00EA2773" w:rsidRPr="00670221">
        <w:rPr>
          <w:lang w:val="en-US"/>
        </w:rPr>
        <w:t xml:space="preserve">technical </w:t>
      </w:r>
      <w:r w:rsidR="00E21BA7" w:rsidRPr="00670221">
        <w:rPr>
          <w:lang w:val="en-US"/>
        </w:rPr>
        <w:t xml:space="preserve">criteria </w:t>
      </w:r>
      <w:r w:rsidR="009F7294" w:rsidRPr="00670221">
        <w:rPr>
          <w:lang w:val="en-US"/>
        </w:rPr>
        <w:t xml:space="preserve">to subject the technologies to, as well as </w:t>
      </w:r>
      <w:r w:rsidR="00B40135" w:rsidRPr="00670221">
        <w:rPr>
          <w:lang w:val="en-US"/>
        </w:rPr>
        <w:t>non-technical</w:t>
      </w:r>
      <w:r w:rsidR="00EA2773" w:rsidRPr="00670221">
        <w:rPr>
          <w:lang w:val="en-US"/>
        </w:rPr>
        <w:t xml:space="preserve"> criteria </w:t>
      </w:r>
      <w:r w:rsidR="00E20450" w:rsidRPr="00670221">
        <w:rPr>
          <w:lang w:val="en-US"/>
        </w:rPr>
        <w:t>essential for technologies to succeed in a broader socio technical context.</w:t>
      </w:r>
    </w:p>
    <w:p w14:paraId="48CAD0CE" w14:textId="633C4908" w:rsidR="00641854" w:rsidRPr="00670221" w:rsidRDefault="00456C10" w:rsidP="00456C10">
      <w:pPr>
        <w:rPr>
          <w:lang w:val="en-US"/>
        </w:rPr>
      </w:pPr>
      <w:r w:rsidRPr="00670221">
        <w:rPr>
          <w:lang w:val="en-US"/>
        </w:rPr>
        <w:t xml:space="preserve">The chapter is structured as follows. Section </w:t>
      </w:r>
      <w:r w:rsidR="009576A9" w:rsidRPr="00670221">
        <w:rPr>
          <w:lang w:val="en-US"/>
        </w:rPr>
        <w:t>3</w:t>
      </w:r>
      <w:r w:rsidRPr="00670221">
        <w:rPr>
          <w:lang w:val="en-US"/>
        </w:rPr>
        <w:t xml:space="preserve">.1 introduces the technological trajectories, outlining the key processes in the different SAF pathways. Section </w:t>
      </w:r>
      <w:r w:rsidR="009576A9" w:rsidRPr="00670221">
        <w:rPr>
          <w:lang w:val="en-US"/>
        </w:rPr>
        <w:t>3</w:t>
      </w:r>
      <w:r w:rsidRPr="00670221">
        <w:rPr>
          <w:lang w:val="en-US"/>
        </w:rPr>
        <w:t xml:space="preserve">.2 examines the roles of key actors, including technology providers, feedstock suppliers, and infrastructure developers within the value chain. Section </w:t>
      </w:r>
      <w:r w:rsidR="009576A9" w:rsidRPr="00670221">
        <w:rPr>
          <w:lang w:val="en-US"/>
        </w:rPr>
        <w:t>3</w:t>
      </w:r>
      <w:r w:rsidRPr="00670221">
        <w:rPr>
          <w:lang w:val="en-US"/>
        </w:rPr>
        <w:t xml:space="preserve">.3 focuses on the institutions involved. Section </w:t>
      </w:r>
      <w:r w:rsidR="009576A9" w:rsidRPr="00670221">
        <w:rPr>
          <w:lang w:val="en-US"/>
        </w:rPr>
        <w:t>3</w:t>
      </w:r>
      <w:r w:rsidRPr="00670221">
        <w:rPr>
          <w:lang w:val="en-US"/>
        </w:rPr>
        <w:t xml:space="preserve">.4 concludes the structural analysis, evaluating the network relationships among renewable energy availability, carbon capture, fuel infrastructure, and policy environments. </w:t>
      </w:r>
      <w:r w:rsidR="001045A0" w:rsidRPr="00670221">
        <w:rPr>
          <w:lang w:val="en-US"/>
        </w:rPr>
        <w:t>Section 3.5 explains the development of evaluation criteria and applies them to assess various SAF technologies, identifying the most suitable options for further analysis. Section 3.6 consolidates these findings with non-technical considerations, providing a comprehensive basis for the techno-economic analysis in Chapter 4.</w:t>
      </w:r>
    </w:p>
    <w:p w14:paraId="5A8DD6D1" w14:textId="77777777" w:rsidR="00456C10" w:rsidRPr="00670221" w:rsidRDefault="00456C10" w:rsidP="00456C10">
      <w:pPr>
        <w:rPr>
          <w:lang w:val="en-US"/>
        </w:rPr>
      </w:pPr>
    </w:p>
    <w:p w14:paraId="7DECF8C2" w14:textId="545BEFFA" w:rsidR="005970A9" w:rsidRPr="00670221" w:rsidRDefault="005970A9" w:rsidP="005970A9">
      <w:pPr>
        <w:pStyle w:val="Heading2"/>
      </w:pPr>
      <w:bookmarkStart w:id="44" w:name="_Toc184403428"/>
      <w:r w:rsidRPr="00670221">
        <w:t>Technological trajectories</w:t>
      </w:r>
      <w:bookmarkEnd w:id="44"/>
    </w:p>
    <w:p w14:paraId="002269AE" w14:textId="7E72AF18" w:rsidR="00641854" w:rsidRPr="00670221" w:rsidRDefault="003B02B2" w:rsidP="00641854">
      <w:pPr>
        <w:rPr>
          <w:lang w:val="en-US"/>
        </w:rPr>
      </w:pPr>
      <w:r w:rsidRPr="00670221">
        <w:rPr>
          <w:lang w:val="en-US"/>
        </w:rPr>
        <w:t>F</w:t>
      </w:r>
      <w:r w:rsidR="00641854" w:rsidRPr="00670221">
        <w:rPr>
          <w:lang w:val="en-US"/>
        </w:rPr>
        <w:t xml:space="preserve">igure </w:t>
      </w:r>
      <w:r w:rsidR="009576A9" w:rsidRPr="00670221">
        <w:rPr>
          <w:lang w:val="en-US"/>
        </w:rPr>
        <w:t>3</w:t>
      </w:r>
      <w:r w:rsidR="00641854" w:rsidRPr="00670221">
        <w:rPr>
          <w:lang w:val="en-US"/>
        </w:rPr>
        <w:t xml:space="preserve">.1 provides a high-level representation of </w:t>
      </w:r>
      <w:r w:rsidR="007D4249" w:rsidRPr="00670221">
        <w:rPr>
          <w:lang w:val="en-US"/>
        </w:rPr>
        <w:t>any fuel</w:t>
      </w:r>
      <w:r w:rsidR="00641854" w:rsidRPr="00670221">
        <w:rPr>
          <w:lang w:val="en-US"/>
        </w:rPr>
        <w:t xml:space="preserve"> production process. It illustrates the fundamental stages common to all SAF pathways, including the conversion of renewable energy into hydrogen, the potential use of hydrogen carriers, and the final synthesis of fuel. While this model captures the essential components, specific production methods may involve additional steps or variations depending on the technologies and processes employed.</w:t>
      </w:r>
    </w:p>
    <w:p w14:paraId="6CC2CB58" w14:textId="77777777" w:rsidR="00641854" w:rsidRPr="00670221" w:rsidRDefault="00641854" w:rsidP="00641854">
      <w:pPr>
        <w:keepNext/>
        <w:jc w:val="center"/>
        <w:rPr>
          <w:lang w:val="en-US"/>
        </w:rPr>
      </w:pPr>
      <w:r w:rsidRPr="00670221">
        <w:rPr>
          <w:noProof/>
          <w:lang w:val="en-US"/>
        </w:rPr>
        <w:lastRenderedPageBreak/>
        <w:drawing>
          <wp:inline distT="0" distB="0" distL="0" distR="0" wp14:anchorId="2533D7BA" wp14:editId="633F2D94">
            <wp:extent cx="2160000" cy="2160000"/>
            <wp:effectExtent l="0" t="0" r="0" b="0"/>
            <wp:docPr id="1863065016" name="Picture 1" descr="A diagram of energy and hydrog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65016" name="Picture 1" descr="A diagram of energy and hydrogen&#10;&#10;Description automatically generated"/>
                    <pic:cNvPicPr/>
                  </pic:nvPicPr>
                  <pic:blipFill>
                    <a:blip r:embed="rId29"/>
                    <a:stretch>
                      <a:fillRect/>
                    </a:stretch>
                  </pic:blipFill>
                  <pic:spPr>
                    <a:xfrm>
                      <a:off x="0" y="0"/>
                      <a:ext cx="2160000" cy="2160000"/>
                    </a:xfrm>
                    <a:prstGeom prst="rect">
                      <a:avLst/>
                    </a:prstGeom>
                  </pic:spPr>
                </pic:pic>
              </a:graphicData>
            </a:graphic>
          </wp:inline>
        </w:drawing>
      </w:r>
    </w:p>
    <w:p w14:paraId="371BDDA9" w14:textId="581A52D4" w:rsidR="003B02B2" w:rsidRPr="00670221" w:rsidRDefault="00641854" w:rsidP="0089624C">
      <w:pPr>
        <w:pStyle w:val="Caption"/>
        <w:rPr>
          <w:lang w:val="en-US"/>
        </w:rPr>
      </w:pPr>
      <w:bookmarkStart w:id="45" w:name="_Toc184403547"/>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3</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w:t>
      </w:r>
      <w:r w:rsidR="002A3EA2" w:rsidRPr="00670221">
        <w:rPr>
          <w:lang w:val="en-US"/>
        </w:rPr>
        <w:fldChar w:fldCharType="end"/>
      </w:r>
      <w:r w:rsidRPr="00670221">
        <w:rPr>
          <w:lang w:val="en-US"/>
        </w:rPr>
        <w:t>: high level flow chart for SAF production</w:t>
      </w:r>
      <w:bookmarkEnd w:id="45"/>
    </w:p>
    <w:p w14:paraId="5CFC29D9" w14:textId="6D34B29A" w:rsidR="003B02B2" w:rsidRPr="00670221" w:rsidRDefault="003B02B2" w:rsidP="003B02B2">
      <w:pPr>
        <w:rPr>
          <w:lang w:val="en-US"/>
        </w:rPr>
      </w:pPr>
      <w:r w:rsidRPr="00670221">
        <w:rPr>
          <w:lang w:val="en-US"/>
        </w:rPr>
        <w:t xml:space="preserve">Diagram </w:t>
      </w:r>
      <w:r w:rsidR="009576A9" w:rsidRPr="00670221">
        <w:rPr>
          <w:lang w:val="en-US"/>
        </w:rPr>
        <w:t>3</w:t>
      </w:r>
      <w:r w:rsidRPr="00670221">
        <w:rPr>
          <w:lang w:val="en-US"/>
        </w:rPr>
        <w:t>.2</w:t>
      </w:r>
      <w:r w:rsidR="00A2369F" w:rsidRPr="00670221">
        <w:rPr>
          <w:lang w:val="en-US"/>
        </w:rPr>
        <w:t xml:space="preserve"> is </w:t>
      </w:r>
      <w:r w:rsidRPr="00670221">
        <w:rPr>
          <w:lang w:val="en-US"/>
        </w:rPr>
        <w:t xml:space="preserve">derived from </w:t>
      </w:r>
      <w:r w:rsidR="00106EFB" w:rsidRPr="00670221">
        <w:rPr>
          <w:lang w:val="en-US"/>
        </w:rPr>
        <w:t xml:space="preserve">the </w:t>
      </w:r>
      <w:r w:rsidRPr="00670221">
        <w:rPr>
          <w:lang w:val="en-US"/>
        </w:rPr>
        <w:t>literature review</w:t>
      </w:r>
      <w:r w:rsidR="00A2369F" w:rsidRPr="00670221">
        <w:rPr>
          <w:lang w:val="en-US"/>
        </w:rPr>
        <w:t xml:space="preserve"> and </w:t>
      </w:r>
      <w:r w:rsidRPr="00670221">
        <w:rPr>
          <w:lang w:val="en-US"/>
        </w:rPr>
        <w:t xml:space="preserve">illustrates the complex interplay between energy sources, hydrogen carriers, hydrogen production technologies, and fuel conversion processes involved in the production </w:t>
      </w:r>
      <w:r w:rsidR="005A6E00" w:rsidRPr="00670221">
        <w:rPr>
          <w:lang w:val="en-US"/>
        </w:rPr>
        <w:t>of e</w:t>
      </w:r>
      <w:r w:rsidR="00F71BE8">
        <w:rPr>
          <w:lang w:val="en-US"/>
        </w:rPr>
        <w:t>-</w:t>
      </w:r>
      <w:r w:rsidR="005A6E00" w:rsidRPr="00670221">
        <w:rPr>
          <w:lang w:val="en-US"/>
        </w:rPr>
        <w:t>fuels</w:t>
      </w:r>
      <w:r w:rsidRPr="00670221">
        <w:rPr>
          <w:lang w:val="en-US"/>
        </w:rPr>
        <w:t xml:space="preserve">. Biofuels are also considered in this analysis due to their close connection with e-fuels, particularly when biogenic </w:t>
      </w:r>
      <w:r w:rsidR="00561471" w:rsidRPr="00670221">
        <w:rPr>
          <w:lang w:val="en-US"/>
        </w:rPr>
        <w:t xml:space="preserve">CO₂ </w:t>
      </w:r>
      <w:r w:rsidRPr="00670221">
        <w:rPr>
          <w:lang w:val="en-US"/>
        </w:rPr>
        <w:t xml:space="preserve">is used as an alternative to DAC </w:t>
      </w:r>
      <w:r w:rsidR="00561471" w:rsidRPr="00670221">
        <w:rPr>
          <w:lang w:val="en-US"/>
        </w:rPr>
        <w:t>CO₂</w:t>
      </w:r>
      <w:r w:rsidRPr="00670221">
        <w:rPr>
          <w:lang w:val="en-US"/>
        </w:rPr>
        <w:t>. This analysis will focus on differentiating these elements and clarifying their roles in the overall system.</w:t>
      </w:r>
      <w:r w:rsidR="00794637" w:rsidRPr="00670221">
        <w:rPr>
          <w:lang w:val="en-US"/>
        </w:rPr>
        <w:t xml:space="preserve"> Heat integration and electricity requirements other than electrolysis are not shown. </w:t>
      </w:r>
    </w:p>
    <w:p w14:paraId="65A40D17" w14:textId="72F91168" w:rsidR="003B02B2" w:rsidRPr="00670221" w:rsidRDefault="00637A66" w:rsidP="003B02B2">
      <w:pPr>
        <w:keepNext/>
        <w:rPr>
          <w:lang w:val="en-US"/>
        </w:rPr>
      </w:pPr>
      <w:r w:rsidRPr="00670221">
        <w:rPr>
          <w:noProof/>
          <w:lang w:val="en-US"/>
        </w:rPr>
        <w:drawing>
          <wp:inline distT="0" distB="0" distL="0" distR="0" wp14:anchorId="2EDA8AD8" wp14:editId="08D8747A">
            <wp:extent cx="5731510" cy="3825240"/>
            <wp:effectExtent l="0" t="0" r="0" b="0"/>
            <wp:docPr id="1596544494" name="Picture 1" descr="A diagram of a chemical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44494" name="Picture 1" descr="A diagram of a chemical process&#10;&#10;Description automatically generated"/>
                    <pic:cNvPicPr/>
                  </pic:nvPicPr>
                  <pic:blipFill>
                    <a:blip r:embed="rId30"/>
                    <a:stretch>
                      <a:fillRect/>
                    </a:stretch>
                  </pic:blipFill>
                  <pic:spPr>
                    <a:xfrm>
                      <a:off x="0" y="0"/>
                      <a:ext cx="5731510" cy="3825240"/>
                    </a:xfrm>
                    <a:prstGeom prst="rect">
                      <a:avLst/>
                    </a:prstGeom>
                  </pic:spPr>
                </pic:pic>
              </a:graphicData>
            </a:graphic>
          </wp:inline>
        </w:drawing>
      </w:r>
    </w:p>
    <w:p w14:paraId="5E752220" w14:textId="1CB365A7" w:rsidR="00641854" w:rsidRPr="00670221" w:rsidRDefault="003B02B2" w:rsidP="003B02B2">
      <w:pPr>
        <w:pStyle w:val="Caption"/>
        <w:rPr>
          <w:lang w:val="en-US"/>
        </w:rPr>
      </w:pPr>
      <w:bookmarkStart w:id="46" w:name="_Toc184403548"/>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3</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2</w:t>
      </w:r>
      <w:r w:rsidR="002A3EA2" w:rsidRPr="00670221">
        <w:rPr>
          <w:lang w:val="en-US"/>
        </w:rPr>
        <w:fldChar w:fldCharType="end"/>
      </w:r>
      <w:r w:rsidRPr="00670221">
        <w:rPr>
          <w:lang w:val="en-US"/>
        </w:rPr>
        <w:t>: integrated pathways for e-fuels and biofuels production</w:t>
      </w:r>
      <w:bookmarkEnd w:id="46"/>
    </w:p>
    <w:p w14:paraId="10513FBD" w14:textId="77777777" w:rsidR="00387EB6" w:rsidRPr="00670221" w:rsidRDefault="00387EB6" w:rsidP="00387EB6">
      <w:pPr>
        <w:rPr>
          <w:lang w:val="en-US"/>
        </w:rPr>
      </w:pPr>
    </w:p>
    <w:p w14:paraId="6EEE46D8" w14:textId="1F2064EB" w:rsidR="005A6E00" w:rsidRPr="00670221" w:rsidRDefault="005A6E00" w:rsidP="000109D2">
      <w:pPr>
        <w:pStyle w:val="Heading3"/>
      </w:pPr>
      <w:bookmarkStart w:id="47" w:name="_Toc184403429"/>
      <w:r w:rsidRPr="00670221">
        <w:lastRenderedPageBreak/>
        <w:t>Energy</w:t>
      </w:r>
      <w:bookmarkEnd w:id="47"/>
    </w:p>
    <w:p w14:paraId="4BBF7CFE" w14:textId="43BB55F5" w:rsidR="00D45B07" w:rsidRPr="00670221" w:rsidRDefault="00D45B07" w:rsidP="005A6E00">
      <w:pPr>
        <w:rPr>
          <w:lang w:val="en-US"/>
        </w:rPr>
      </w:pPr>
      <w:r w:rsidRPr="00670221">
        <w:rPr>
          <w:lang w:val="en-US"/>
        </w:rPr>
        <w:t xml:space="preserve">Renewable energy is depicted in the upper left of the diagram as a vital component for all production pathways, primarily for generating electricity and, in some cases, producing heat through concentrated solar power. This heat drives redox reactions, reducing </w:t>
      </w:r>
      <w:r w:rsidR="00561471" w:rsidRPr="00670221">
        <w:rPr>
          <w:lang w:val="en-US"/>
        </w:rPr>
        <w:t>H</w:t>
      </w:r>
      <w:r w:rsidR="00561471" w:rsidRPr="00670221">
        <w:rPr>
          <w:vertAlign w:val="subscript"/>
          <w:lang w:val="en-US"/>
        </w:rPr>
        <w:t>2</w:t>
      </w:r>
      <w:r w:rsidR="00561471" w:rsidRPr="00670221">
        <w:rPr>
          <w:lang w:val="en-US"/>
        </w:rPr>
        <w:t>O</w:t>
      </w:r>
      <w:r w:rsidRPr="00670221">
        <w:rPr>
          <w:lang w:val="en-US"/>
        </w:rPr>
        <w:t xml:space="preserve"> and </w:t>
      </w:r>
      <w:r w:rsidR="00561471" w:rsidRPr="00670221">
        <w:rPr>
          <w:lang w:val="en-US"/>
        </w:rPr>
        <w:t xml:space="preserve">CO₂ </w:t>
      </w:r>
      <w:r w:rsidRPr="00670221">
        <w:rPr>
          <w:lang w:val="en-US"/>
        </w:rPr>
        <w:t xml:space="preserve">without the need for an </w:t>
      </w:r>
      <w:proofErr w:type="spellStart"/>
      <w:r w:rsidRPr="00670221">
        <w:rPr>
          <w:lang w:val="en-US"/>
        </w:rPr>
        <w:t>electrolyzer</w:t>
      </w:r>
      <w:proofErr w:type="spellEnd"/>
      <w:r w:rsidRPr="00670221">
        <w:rPr>
          <w:lang w:val="en-US"/>
        </w:rPr>
        <w:t xml:space="preserve"> (Moretti et al., 2023; Prats-</w:t>
      </w:r>
      <w:proofErr w:type="spellStart"/>
      <w:r w:rsidRPr="00670221">
        <w:rPr>
          <w:lang w:val="en-US"/>
        </w:rPr>
        <w:t>Salvado</w:t>
      </w:r>
      <w:proofErr w:type="spellEnd"/>
      <w:r w:rsidRPr="00670221">
        <w:rPr>
          <w:lang w:val="en-US"/>
        </w:rPr>
        <w:t xml:space="preserve"> et al., 2022). Electricity is commonly sourced from photovoltaic (PV) systems, wind, or a combination, with the latter providing the most stable supply</w:t>
      </w:r>
      <w:r w:rsidR="00BE7601" w:rsidRPr="00670221">
        <w:rPr>
          <w:lang w:val="en-US"/>
        </w:rPr>
        <w:t xml:space="preserve"> (</w:t>
      </w:r>
      <w:proofErr w:type="spellStart"/>
      <w:r w:rsidR="00BE7601" w:rsidRPr="00670221">
        <w:rPr>
          <w:lang w:val="en-US"/>
        </w:rPr>
        <w:t>O</w:t>
      </w:r>
      <w:r w:rsidR="00DE6B27" w:rsidRPr="00670221">
        <w:rPr>
          <w:lang w:val="en-US"/>
        </w:rPr>
        <w:t>rdóñez</w:t>
      </w:r>
      <w:proofErr w:type="spellEnd"/>
      <w:r w:rsidR="00DE6B27" w:rsidRPr="00670221">
        <w:rPr>
          <w:lang w:val="en-US"/>
        </w:rPr>
        <w:t xml:space="preserve"> </w:t>
      </w:r>
      <w:r w:rsidRPr="00670221">
        <w:rPr>
          <w:lang w:val="en-US"/>
        </w:rPr>
        <w:t>et al., 2022; Seymour et al., 2023; Sherwin, 2021). Nuclear energy, as applied by Peacock et al. (2024), ensures a stable electricity supply, eliminating the need for balancing measures. Additionally, electricity can be sourced from the grid, with GHG emissions reductions contingent on the renewable share in the grid mix (Liu et al., 2021; Rojas-</w:t>
      </w:r>
      <w:proofErr w:type="spellStart"/>
      <w:r w:rsidRPr="00670221">
        <w:rPr>
          <w:lang w:val="en-US"/>
        </w:rPr>
        <w:t>Michaga</w:t>
      </w:r>
      <w:proofErr w:type="spellEnd"/>
      <w:r w:rsidRPr="00670221">
        <w:rPr>
          <w:lang w:val="en-US"/>
        </w:rPr>
        <w:t>, 2023). For this approach to be sustainable, the electricity grid must predominantly consist of renewables, which is why case studies often focus on countries like Sweden, Finland, and Norway, where renewables dominate the energy mix (</w:t>
      </w:r>
      <w:proofErr w:type="spellStart"/>
      <w:r w:rsidRPr="00670221">
        <w:rPr>
          <w:lang w:val="en-US"/>
        </w:rPr>
        <w:t>Ballal</w:t>
      </w:r>
      <w:proofErr w:type="spellEnd"/>
      <w:r w:rsidRPr="00670221">
        <w:rPr>
          <w:lang w:val="en-US"/>
        </w:rPr>
        <w:t xml:space="preserve"> et al., 2023; Martin et al., 2023).</w:t>
      </w:r>
    </w:p>
    <w:p w14:paraId="5EF39550" w14:textId="77777777" w:rsidR="00387EB6" w:rsidRPr="00670221" w:rsidRDefault="00387EB6" w:rsidP="005A6E00">
      <w:pPr>
        <w:rPr>
          <w:lang w:val="en-US"/>
        </w:rPr>
      </w:pPr>
    </w:p>
    <w:p w14:paraId="3A25D3E7" w14:textId="3949414D" w:rsidR="00D45B07" w:rsidRPr="00670221" w:rsidRDefault="00D45B07" w:rsidP="00D45B07">
      <w:pPr>
        <w:pStyle w:val="Heading3"/>
      </w:pPr>
      <w:bookmarkStart w:id="48" w:name="_Toc184403430"/>
      <w:r w:rsidRPr="00670221">
        <w:t>Electrolysis</w:t>
      </w:r>
      <w:bookmarkEnd w:id="48"/>
    </w:p>
    <w:p w14:paraId="14E9243B" w14:textId="127B7DBF" w:rsidR="00D45B07" w:rsidRPr="00670221" w:rsidRDefault="00D45B07" w:rsidP="00D45B07">
      <w:pPr>
        <w:rPr>
          <w:lang w:val="en-US"/>
        </w:rPr>
      </w:pPr>
      <w:r w:rsidRPr="00670221">
        <w:rPr>
          <w:lang w:val="en-US"/>
        </w:rPr>
        <w:t xml:space="preserve">The hydrogen necessary for various synthesis processes is produced through three main electrolysis technologies, each offering distinct advantages and challenges in terms of </w:t>
      </w:r>
      <w:r w:rsidR="007A74F5" w:rsidRPr="00670221">
        <w:rPr>
          <w:lang w:val="en-US"/>
        </w:rPr>
        <w:t>technology, costs and performance.</w:t>
      </w:r>
    </w:p>
    <w:p w14:paraId="3CE1FC9D" w14:textId="1782E166" w:rsidR="00504C92" w:rsidRPr="00670221" w:rsidRDefault="00504C92" w:rsidP="00504C92">
      <w:pPr>
        <w:pStyle w:val="Heading4"/>
        <w:rPr>
          <w:lang w:val="en-US"/>
        </w:rPr>
      </w:pPr>
      <w:r w:rsidRPr="00670221">
        <w:rPr>
          <w:lang w:val="en-US"/>
        </w:rPr>
        <w:t>Alkaline Electrolysis</w:t>
      </w:r>
    </w:p>
    <w:p w14:paraId="07F61A3A" w14:textId="7602C16E" w:rsidR="009F0339" w:rsidRPr="00670221" w:rsidRDefault="00D45B07" w:rsidP="00D45B07">
      <w:pPr>
        <w:rPr>
          <w:lang w:val="en-US"/>
        </w:rPr>
      </w:pPr>
      <w:r w:rsidRPr="00670221">
        <w:rPr>
          <w:lang w:val="en-US"/>
        </w:rPr>
        <w:t xml:space="preserve">Alkaline Electrolysis (AE) is the most mature technology </w:t>
      </w:r>
      <w:r w:rsidR="007F4831">
        <w:rPr>
          <w:lang w:val="en-US"/>
        </w:rPr>
        <w:t>with technology readiness level (</w:t>
      </w:r>
      <w:r w:rsidRPr="00670221">
        <w:rPr>
          <w:lang w:val="en-US"/>
        </w:rPr>
        <w:t>TRL</w:t>
      </w:r>
      <w:r w:rsidR="007F4831">
        <w:rPr>
          <w:lang w:val="en-US"/>
        </w:rPr>
        <w:t>)</w:t>
      </w:r>
      <w:r w:rsidRPr="00670221">
        <w:rPr>
          <w:lang w:val="en-US"/>
        </w:rPr>
        <w:t xml:space="preserve"> 8-9 and has relatively low </w:t>
      </w:r>
      <w:r w:rsidR="007A74F5" w:rsidRPr="00670221">
        <w:rPr>
          <w:lang w:val="en-US"/>
        </w:rPr>
        <w:t>upfront investment costs</w:t>
      </w:r>
      <w:r w:rsidRPr="00670221">
        <w:rPr>
          <w:lang w:val="en-US"/>
        </w:rPr>
        <w:t>, making it widely adopted in industrial applications</w:t>
      </w:r>
      <w:r w:rsidR="00875D20" w:rsidRPr="00670221">
        <w:rPr>
          <w:lang w:val="en-US"/>
        </w:rPr>
        <w:t xml:space="preserve"> (Rojas-</w:t>
      </w:r>
      <w:proofErr w:type="spellStart"/>
      <w:r w:rsidR="00875D20" w:rsidRPr="00670221">
        <w:rPr>
          <w:lang w:val="en-US"/>
        </w:rPr>
        <w:t>Michaga</w:t>
      </w:r>
      <w:proofErr w:type="spellEnd"/>
      <w:r w:rsidR="00875D20" w:rsidRPr="00670221">
        <w:rPr>
          <w:lang w:val="en-US"/>
        </w:rPr>
        <w:t xml:space="preserve"> et al., 2023)</w:t>
      </w:r>
      <w:r w:rsidRPr="00670221">
        <w:rPr>
          <w:lang w:val="en-US"/>
        </w:rPr>
        <w:t xml:space="preserve">. However, its </w:t>
      </w:r>
      <w:r w:rsidR="007A74F5" w:rsidRPr="00670221">
        <w:rPr>
          <w:lang w:val="en-US"/>
        </w:rPr>
        <w:t xml:space="preserve">lower </w:t>
      </w:r>
      <w:r w:rsidRPr="00670221">
        <w:rPr>
          <w:lang w:val="en-US"/>
        </w:rPr>
        <w:t>efficienc</w:t>
      </w:r>
      <w:r w:rsidR="007A74F5" w:rsidRPr="00670221">
        <w:rPr>
          <w:lang w:val="en-US"/>
        </w:rPr>
        <w:t>y</w:t>
      </w:r>
      <w:r w:rsidRPr="00670221">
        <w:rPr>
          <w:lang w:val="en-US"/>
        </w:rPr>
        <w:t xml:space="preserve">, particularly at partial loads, </w:t>
      </w:r>
      <w:r w:rsidR="007A74F5" w:rsidRPr="00670221">
        <w:rPr>
          <w:lang w:val="en-US"/>
        </w:rPr>
        <w:t>combined with its slower start-ups, extended cool-downs and slower ramping rates,</w:t>
      </w:r>
      <w:r w:rsidRPr="00670221">
        <w:rPr>
          <w:lang w:val="en-US"/>
        </w:rPr>
        <w:t xml:space="preserve"> limits its suitability for integration with </w:t>
      </w:r>
      <w:r w:rsidR="007A74F5" w:rsidRPr="00670221">
        <w:rPr>
          <w:lang w:val="en-US"/>
        </w:rPr>
        <w:t>intermittent</w:t>
      </w:r>
      <w:r w:rsidRPr="00670221">
        <w:rPr>
          <w:lang w:val="en-US"/>
        </w:rPr>
        <w:t xml:space="preserve"> renewable energy sources</w:t>
      </w:r>
      <w:r w:rsidR="007A74F5" w:rsidRPr="00670221">
        <w:rPr>
          <w:lang w:val="en-US"/>
        </w:rPr>
        <w:t xml:space="preserve"> (</w:t>
      </w:r>
      <w:proofErr w:type="spellStart"/>
      <w:r w:rsidR="007A74F5" w:rsidRPr="00670221">
        <w:rPr>
          <w:lang w:val="en-US"/>
        </w:rPr>
        <w:t>ballal</w:t>
      </w:r>
      <w:proofErr w:type="spellEnd"/>
      <w:r w:rsidR="007A74F5" w:rsidRPr="00670221">
        <w:rPr>
          <w:lang w:val="en-US"/>
        </w:rPr>
        <w:t xml:space="preserve"> et al., 2023;</w:t>
      </w:r>
      <w:r w:rsidR="005C1A50" w:rsidRPr="00670221">
        <w:rPr>
          <w:lang w:val="en-US"/>
        </w:rPr>
        <w:t xml:space="preserve"> </w:t>
      </w:r>
      <w:proofErr w:type="spellStart"/>
      <w:r w:rsidR="005C1A50" w:rsidRPr="00670221">
        <w:rPr>
          <w:lang w:val="en-US"/>
        </w:rPr>
        <w:t>Habermeyer</w:t>
      </w:r>
      <w:proofErr w:type="spellEnd"/>
      <w:r w:rsidR="005C1A50" w:rsidRPr="00670221">
        <w:rPr>
          <w:lang w:val="en-US"/>
        </w:rPr>
        <w:t xml:space="preserve"> et al., 2023).</w:t>
      </w:r>
    </w:p>
    <w:p w14:paraId="78D93618" w14:textId="3FFD3BA4" w:rsidR="00504C92" w:rsidRPr="00670221" w:rsidRDefault="00504C92" w:rsidP="00504C92">
      <w:pPr>
        <w:pStyle w:val="Heading4"/>
        <w:rPr>
          <w:lang w:val="en-US"/>
        </w:rPr>
      </w:pPr>
      <w:r w:rsidRPr="00670221">
        <w:rPr>
          <w:lang w:val="en-US"/>
        </w:rPr>
        <w:t>Proton Exchange Membrane Electrolysis</w:t>
      </w:r>
    </w:p>
    <w:p w14:paraId="2E3BB0B5" w14:textId="4C6925BA" w:rsidR="00AB254F" w:rsidRPr="00670221" w:rsidRDefault="00AB254F" w:rsidP="00D45B07">
      <w:pPr>
        <w:rPr>
          <w:lang w:val="en-US"/>
        </w:rPr>
      </w:pPr>
      <w:r w:rsidRPr="00670221">
        <w:rPr>
          <w:lang w:val="en-US"/>
        </w:rPr>
        <w:t>Proton Exchange Membrane Electrolysis (PEMEL), with a TRL of 6-8, is particularly valued for its flexibility and responsiveness to intermittent renewable energy, making it well-suited for integration with sources like wind and solar (</w:t>
      </w:r>
      <w:proofErr w:type="spellStart"/>
      <w:r w:rsidRPr="00670221">
        <w:rPr>
          <w:lang w:val="en-US"/>
        </w:rPr>
        <w:t>Ballal</w:t>
      </w:r>
      <w:proofErr w:type="spellEnd"/>
      <w:r w:rsidRPr="00670221">
        <w:rPr>
          <w:lang w:val="en-US"/>
        </w:rPr>
        <w:t xml:space="preserve"> et al., 2023; </w:t>
      </w:r>
      <w:proofErr w:type="spellStart"/>
      <w:r w:rsidRPr="00670221">
        <w:rPr>
          <w:lang w:val="en-US"/>
        </w:rPr>
        <w:t>Habermeyer</w:t>
      </w:r>
      <w:proofErr w:type="spellEnd"/>
      <w:r w:rsidRPr="00670221">
        <w:rPr>
          <w:lang w:val="en-US"/>
        </w:rPr>
        <w:t xml:space="preserve"> et al., 2023; Seymour et al., 2023). Having recently become commercially available (</w:t>
      </w:r>
      <w:proofErr w:type="spellStart"/>
      <w:r w:rsidR="00DE6B27" w:rsidRPr="00670221">
        <w:rPr>
          <w:lang w:val="en-US"/>
        </w:rPr>
        <w:t>Ordóñez</w:t>
      </w:r>
      <w:proofErr w:type="spellEnd"/>
      <w:r w:rsidR="00DE6B27" w:rsidRPr="00670221">
        <w:rPr>
          <w:lang w:val="en-US"/>
        </w:rPr>
        <w:t xml:space="preserve"> </w:t>
      </w:r>
      <w:r w:rsidRPr="00670221">
        <w:rPr>
          <w:lang w:val="en-US"/>
        </w:rPr>
        <w:t>et al., 2022), PEMEL systems are frequently modeled due to their ability to match the full load hours of the electricity source.</w:t>
      </w:r>
      <w:r w:rsidR="00E65CFC" w:rsidRPr="00670221">
        <w:rPr>
          <w:lang w:val="en-US"/>
        </w:rPr>
        <w:t xml:space="preserve"> Although PEMEL offers higher efficiency than Alkaline Electrolysis, it comes with higher CAPEX and relies on expensive materials, which are significant drawbacks (Grahn et al., 2022; Martin et al., 2023; Seymour et al., 2023; Sherwin, 2021).</w:t>
      </w:r>
    </w:p>
    <w:p w14:paraId="0552C802" w14:textId="77777777" w:rsidR="00504C92" w:rsidRPr="00670221" w:rsidRDefault="00504C92" w:rsidP="00504C92">
      <w:pPr>
        <w:pStyle w:val="Heading4"/>
        <w:rPr>
          <w:lang w:val="en-US"/>
        </w:rPr>
      </w:pPr>
      <w:r w:rsidRPr="00670221">
        <w:rPr>
          <w:lang w:val="en-US"/>
        </w:rPr>
        <w:t>Solid Oxide Electrolysis</w:t>
      </w:r>
    </w:p>
    <w:p w14:paraId="73291562" w14:textId="46377696" w:rsidR="00290A9C" w:rsidRPr="00670221" w:rsidRDefault="0059336E" w:rsidP="00D45B07">
      <w:pPr>
        <w:rPr>
          <w:lang w:val="en-US"/>
        </w:rPr>
      </w:pPr>
      <w:r w:rsidRPr="00670221">
        <w:rPr>
          <w:lang w:val="en-US"/>
        </w:rPr>
        <w:t xml:space="preserve">Established electrolysis technologies like </w:t>
      </w:r>
      <w:r w:rsidR="00F62940" w:rsidRPr="00670221">
        <w:rPr>
          <w:lang w:val="en-US"/>
        </w:rPr>
        <w:t xml:space="preserve">AE and PEMEL </w:t>
      </w:r>
      <w:r w:rsidRPr="00670221">
        <w:rPr>
          <w:lang w:val="en-US"/>
        </w:rPr>
        <w:t xml:space="preserve">are only capable of converting </w:t>
      </w:r>
      <w:r w:rsidR="00241834" w:rsidRPr="00670221">
        <w:rPr>
          <w:lang w:val="en-US"/>
        </w:rPr>
        <w:t>H</w:t>
      </w:r>
      <w:r w:rsidR="00241834" w:rsidRPr="00670221">
        <w:rPr>
          <w:vertAlign w:val="subscript"/>
          <w:lang w:val="en-US"/>
        </w:rPr>
        <w:t>2</w:t>
      </w:r>
      <w:r w:rsidR="00241834" w:rsidRPr="00670221">
        <w:rPr>
          <w:lang w:val="en-US"/>
        </w:rPr>
        <w:t xml:space="preserve">O </w:t>
      </w:r>
      <w:r w:rsidRPr="00670221">
        <w:rPr>
          <w:lang w:val="en-US"/>
        </w:rPr>
        <w:t xml:space="preserve">into </w:t>
      </w:r>
      <w:r w:rsidR="009F125B" w:rsidRPr="00670221">
        <w:rPr>
          <w:lang w:val="en-US"/>
        </w:rPr>
        <w:t>H</w:t>
      </w:r>
      <w:r w:rsidR="009F125B" w:rsidRPr="00670221">
        <w:rPr>
          <w:vertAlign w:val="subscript"/>
          <w:lang w:val="en-US"/>
        </w:rPr>
        <w:t>2</w:t>
      </w:r>
      <w:r w:rsidRPr="00670221">
        <w:rPr>
          <w:lang w:val="en-US"/>
        </w:rPr>
        <w:t xml:space="preserve">. The direct conversion of </w:t>
      </w:r>
      <w:r w:rsidR="00241834" w:rsidRPr="00670221">
        <w:rPr>
          <w:lang w:val="en-US"/>
        </w:rPr>
        <w:t>H</w:t>
      </w:r>
      <w:r w:rsidR="00241834" w:rsidRPr="00670221">
        <w:rPr>
          <w:vertAlign w:val="subscript"/>
          <w:lang w:val="en-US"/>
        </w:rPr>
        <w:t>2</w:t>
      </w:r>
      <w:r w:rsidR="00241834" w:rsidRPr="00670221">
        <w:rPr>
          <w:lang w:val="en-US"/>
        </w:rPr>
        <w:t xml:space="preserve"> </w:t>
      </w:r>
      <w:r w:rsidRPr="00670221">
        <w:rPr>
          <w:lang w:val="en-US"/>
        </w:rPr>
        <w:t xml:space="preserve">and </w:t>
      </w:r>
      <w:r w:rsidR="00241834" w:rsidRPr="00670221">
        <w:rPr>
          <w:lang w:val="en-US"/>
        </w:rPr>
        <w:t xml:space="preserve">CO₂ </w:t>
      </w:r>
      <w:r w:rsidRPr="00670221">
        <w:rPr>
          <w:lang w:val="en-US"/>
        </w:rPr>
        <w:t xml:space="preserve">into hydrocarbons is limited to simpler reactions such as methanation and methanol synthesis. For producing more complex and valuable products, syngas is required, necessitating an additional reverse water-gas shift reaction step. </w:t>
      </w:r>
      <w:r w:rsidR="00E0487F" w:rsidRPr="00670221">
        <w:rPr>
          <w:lang w:val="en-US"/>
        </w:rPr>
        <w:t>Syngas</w:t>
      </w:r>
      <w:r w:rsidR="00290A9C" w:rsidRPr="00670221">
        <w:rPr>
          <w:lang w:val="en-US"/>
        </w:rPr>
        <w:t xml:space="preserve">, </w:t>
      </w:r>
      <w:r w:rsidR="00E0487F" w:rsidRPr="00670221">
        <w:rPr>
          <w:lang w:val="en-US"/>
        </w:rPr>
        <w:t>short for synthesis gas,</w:t>
      </w:r>
      <w:r w:rsidR="00290A9C" w:rsidRPr="00670221">
        <w:rPr>
          <w:lang w:val="en-US"/>
        </w:rPr>
        <w:t xml:space="preserve"> is a mixture of carbon monoxide and hydrogen. The composition of syngas is governed by equilibrium reactions such as the water-gas shift reaction:</w:t>
      </w:r>
    </w:p>
    <w:p w14:paraId="7CBD88E1" w14:textId="3F01A801" w:rsidR="00E0487F" w:rsidRPr="00670221" w:rsidRDefault="00C925D5" w:rsidP="00290A9C">
      <w:pPr>
        <w:jc w:val="center"/>
        <w:rPr>
          <w:lang w:val="en-US"/>
        </w:rPr>
      </w:pPr>
      <m:oMathPara>
        <m:oMath>
          <m:sSub>
            <m:sSubPr>
              <m:ctrlPr>
                <w:rPr>
                  <w:rFonts w:ascii="Cambria Math" w:hAnsi="Cambria Math"/>
                  <w:i/>
                  <w:lang w:val="en-US"/>
                </w:rPr>
              </m:ctrlPr>
            </m:sSubPr>
            <m:e>
              <m:r>
                <w:rPr>
                  <w:rFonts w:ascii="Cambria Math" w:hAnsi="Cambria Math"/>
                  <w:lang w:val="en-US"/>
                </w:rPr>
                <m:t>CO+H</m:t>
              </m:r>
            </m:e>
            <m:sub>
              <m:r>
                <w:rPr>
                  <w:rFonts w:ascii="Cambria Math"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CO</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oMath>
      </m:oMathPara>
    </w:p>
    <w:p w14:paraId="7371424D" w14:textId="40CA6AB9" w:rsidR="009A6B20" w:rsidRPr="00670221" w:rsidRDefault="0059336E" w:rsidP="00D45B07">
      <w:pPr>
        <w:rPr>
          <w:lang w:val="en-US"/>
        </w:rPr>
      </w:pPr>
      <w:r w:rsidRPr="00670221">
        <w:rPr>
          <w:lang w:val="en-US"/>
        </w:rPr>
        <w:t xml:space="preserve">A more efficient alternative is the use of </w:t>
      </w:r>
      <w:r w:rsidR="00C628B9" w:rsidRPr="00670221">
        <w:rPr>
          <w:lang w:val="en-US"/>
        </w:rPr>
        <w:t>s</w:t>
      </w:r>
      <w:r w:rsidRPr="00670221">
        <w:rPr>
          <w:lang w:val="en-US"/>
        </w:rPr>
        <w:t xml:space="preserve">olid </w:t>
      </w:r>
      <w:r w:rsidR="00C628B9" w:rsidRPr="00670221">
        <w:rPr>
          <w:lang w:val="en-US"/>
        </w:rPr>
        <w:t>o</w:t>
      </w:r>
      <w:r w:rsidRPr="00670221">
        <w:rPr>
          <w:lang w:val="en-US"/>
        </w:rPr>
        <w:t xml:space="preserve">xide </w:t>
      </w:r>
      <w:r w:rsidR="00C628B9" w:rsidRPr="00670221">
        <w:rPr>
          <w:lang w:val="en-US"/>
        </w:rPr>
        <w:t>e</w:t>
      </w:r>
      <w:r w:rsidRPr="00670221">
        <w:rPr>
          <w:lang w:val="en-US"/>
        </w:rPr>
        <w:t xml:space="preserve">lectrolysis (SOE), which enable the direct production of syngas from </w:t>
      </w:r>
      <w:r w:rsidR="00241834" w:rsidRPr="00670221">
        <w:rPr>
          <w:lang w:val="en-US"/>
        </w:rPr>
        <w:t xml:space="preserve">CO₂ </w:t>
      </w:r>
      <w:r w:rsidRPr="00670221">
        <w:rPr>
          <w:lang w:val="en-US"/>
        </w:rPr>
        <w:t xml:space="preserve">and </w:t>
      </w:r>
      <w:r w:rsidR="00241834" w:rsidRPr="00670221">
        <w:rPr>
          <w:lang w:val="en-US"/>
        </w:rPr>
        <w:t>H</w:t>
      </w:r>
      <w:r w:rsidR="00241834" w:rsidRPr="00670221">
        <w:rPr>
          <w:vertAlign w:val="subscript"/>
          <w:lang w:val="en-US"/>
        </w:rPr>
        <w:t>2</w:t>
      </w:r>
      <w:r w:rsidR="00241834" w:rsidRPr="00670221">
        <w:rPr>
          <w:lang w:val="en-US"/>
        </w:rPr>
        <w:t>O</w:t>
      </w:r>
      <w:r w:rsidRPr="00670221">
        <w:rPr>
          <w:lang w:val="en-US"/>
        </w:rPr>
        <w:t xml:space="preserve"> through co-electrolysis </w:t>
      </w:r>
      <w:r w:rsidR="004C61B0" w:rsidRPr="00670221">
        <w:rPr>
          <w:lang w:val="en-US"/>
        </w:rPr>
        <w:t xml:space="preserve">(Choe et al., 2022; </w:t>
      </w:r>
      <w:r w:rsidRPr="00670221">
        <w:rPr>
          <w:lang w:val="en-US"/>
        </w:rPr>
        <w:t>Herz et al., 2018).</w:t>
      </w:r>
      <w:r w:rsidR="00766522" w:rsidRPr="00670221">
        <w:rPr>
          <w:lang w:val="en-US"/>
        </w:rPr>
        <w:t xml:space="preserve"> </w:t>
      </w:r>
      <w:r w:rsidR="00B726C0" w:rsidRPr="00670221">
        <w:rPr>
          <w:lang w:val="en-US"/>
        </w:rPr>
        <w:t xml:space="preserve">This process is particularly effective because the enthalpy changes for both reactions are similar, </w:t>
      </w:r>
      <w:r w:rsidR="00F62940" w:rsidRPr="00670221">
        <w:rPr>
          <w:lang w:val="en-US"/>
        </w:rPr>
        <w:t>as illustrated by the</w:t>
      </w:r>
      <w:r w:rsidR="00766522" w:rsidRPr="00670221">
        <w:rPr>
          <w:lang w:val="en-US"/>
        </w:rPr>
        <w:t xml:space="preserve"> associated reactions below:</w:t>
      </w:r>
    </w:p>
    <w:p w14:paraId="7B2292E2" w14:textId="7869DA10" w:rsidR="009A6B20" w:rsidRPr="00670221" w:rsidRDefault="00C925D5" w:rsidP="0076652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m:t>
              </m:r>
            </m:sub>
          </m:sSub>
          <m:r>
            <w:rPr>
              <w:rFonts w:ascii="Cambria Math" w:eastAsiaTheme="minorEastAsia" w:hAnsi="Cambria Math"/>
              <w:lang w:val="en-US"/>
            </w:rPr>
            <m:t>, ∆</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0</m:t>
              </m:r>
            </m:sup>
          </m:sSup>
          <m:r>
            <w:rPr>
              <w:rFonts w:ascii="Cambria Math" w:eastAsiaTheme="minorEastAsia" w:hAnsi="Cambria Math"/>
              <w:lang w:val="en-US"/>
            </w:rPr>
            <m:t>=+285,8 kJ/mol</m:t>
          </m:r>
        </m:oMath>
      </m:oMathPara>
    </w:p>
    <w:p w14:paraId="055F1CE7" w14:textId="1E0B69B1" w:rsidR="00766522" w:rsidRPr="00670221" w:rsidRDefault="00C925D5" w:rsidP="00D45B07">
      <w:pPr>
        <w:rPr>
          <w:lang w:val="en-US"/>
        </w:rPr>
      </w:pPr>
      <m:oMathPara>
        <m:oMath>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r>
            <w:rPr>
              <w:rFonts w:ascii="Cambria Math" w:eastAsiaTheme="minorEastAsia" w:hAnsi="Cambria Math"/>
              <w:lang w:val="en-US"/>
            </w:rPr>
            <m:t>⇄CO+</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m:t>
              </m:r>
            </m:sub>
          </m:sSub>
          <m:r>
            <w:rPr>
              <w:rFonts w:ascii="Cambria Math" w:eastAsiaTheme="minorEastAsia" w:hAnsi="Cambria Math"/>
              <w:lang w:val="en-US"/>
            </w:rPr>
            <m:t>, ∆</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0</m:t>
              </m:r>
            </m:sup>
          </m:sSup>
          <m:r>
            <w:rPr>
              <w:rFonts w:ascii="Cambria Math" w:eastAsiaTheme="minorEastAsia" w:hAnsi="Cambria Math"/>
              <w:lang w:val="en-US"/>
            </w:rPr>
            <m:t>=+283,2 kJ/mol</m:t>
          </m:r>
        </m:oMath>
      </m:oMathPara>
    </w:p>
    <w:p w14:paraId="5129852C" w14:textId="528DA9D9" w:rsidR="004C61B0" w:rsidRPr="00670221" w:rsidRDefault="00B726C0" w:rsidP="00D45B07">
      <w:pPr>
        <w:rPr>
          <w:lang w:val="en-US"/>
        </w:rPr>
      </w:pPr>
      <w:r w:rsidRPr="00670221">
        <w:rPr>
          <w:lang w:val="en-US"/>
        </w:rPr>
        <w:t>Operating at elevated temperatures (700°C to 1000°C), SOE reduce</w:t>
      </w:r>
      <w:r w:rsidR="001B1388" w:rsidRPr="00670221">
        <w:rPr>
          <w:lang w:val="en-US"/>
        </w:rPr>
        <w:t>s</w:t>
      </w:r>
      <w:r w:rsidRPr="00670221">
        <w:rPr>
          <w:lang w:val="en-US"/>
        </w:rPr>
        <w:t xml:space="preserve"> the required electrical energy as more of the energy demand is met by thermal energy, which is cheaper and more readily available</w:t>
      </w:r>
      <w:r w:rsidR="00BC68CE" w:rsidRPr="00670221">
        <w:rPr>
          <w:lang w:val="en-US"/>
        </w:rPr>
        <w:t xml:space="preserve">. </w:t>
      </w:r>
      <w:r w:rsidRPr="00670221">
        <w:rPr>
          <w:lang w:val="en-US"/>
        </w:rPr>
        <w:t>The simultaneous operation of both reactions within the same high-temperature environment optimizes energy usage, enhancing the overall efficiency of syngas production (</w:t>
      </w:r>
      <w:proofErr w:type="spellStart"/>
      <w:r w:rsidRPr="00670221">
        <w:rPr>
          <w:lang w:val="en-US"/>
        </w:rPr>
        <w:t>Ballal</w:t>
      </w:r>
      <w:proofErr w:type="spellEnd"/>
      <w:r w:rsidRPr="00670221">
        <w:rPr>
          <w:lang w:val="en-US"/>
        </w:rPr>
        <w:t xml:space="preserve"> et al., 2023; Choe et al., 2022). </w:t>
      </w:r>
    </w:p>
    <w:p w14:paraId="3D1F25BC" w14:textId="4EF24904" w:rsidR="00C628B9" w:rsidRPr="00670221" w:rsidRDefault="006C7C05" w:rsidP="00D45B07">
      <w:pPr>
        <w:rPr>
          <w:lang w:val="en-US"/>
        </w:rPr>
      </w:pPr>
      <w:r w:rsidRPr="00670221">
        <w:rPr>
          <w:lang w:val="en-US"/>
        </w:rPr>
        <w:t>SOEs</w:t>
      </w:r>
      <w:r w:rsidR="00C628B9" w:rsidRPr="00670221">
        <w:rPr>
          <w:lang w:val="en-US"/>
        </w:rPr>
        <w:t xml:space="preserve"> also present several significant challenges that limit their practical application. The high operating temperatures required for SOEs complicate start-up and shutdown procedures, making it difficult to integrate these systems with variable renewable energy sources. Continuous external heat is necessary to maintain efficient operation, as the system loses viability without it. Additionally, SOE</w:t>
      </w:r>
      <w:r w:rsidR="00537727" w:rsidRPr="00670221">
        <w:rPr>
          <w:lang w:val="en-US"/>
        </w:rPr>
        <w:t xml:space="preserve"> is </w:t>
      </w:r>
      <w:r w:rsidR="00C628B9" w:rsidRPr="00670221">
        <w:rPr>
          <w:lang w:val="en-US"/>
        </w:rPr>
        <w:t>less proven (TRL 5-7), with higher initial costs and fast stack degradation. The limited data on long-term performance, future costs, and efficiencies further complicates their scalability and economic feasibility</w:t>
      </w:r>
      <w:r w:rsidRPr="00670221">
        <w:rPr>
          <w:lang w:val="en-US"/>
        </w:rPr>
        <w:t xml:space="preserve"> (Choe et al., 2022; </w:t>
      </w:r>
      <w:r w:rsidR="009F0339" w:rsidRPr="00670221">
        <w:rPr>
          <w:lang w:val="en-US"/>
        </w:rPr>
        <w:t xml:space="preserve">van ‘t </w:t>
      </w:r>
      <w:proofErr w:type="spellStart"/>
      <w:r w:rsidRPr="00670221">
        <w:rPr>
          <w:lang w:val="en-US"/>
        </w:rPr>
        <w:t>Noordende</w:t>
      </w:r>
      <w:proofErr w:type="spellEnd"/>
      <w:r w:rsidR="009F0339" w:rsidRPr="00670221">
        <w:rPr>
          <w:lang w:val="en-US"/>
        </w:rPr>
        <w:t xml:space="preserve"> et al., 2023</w:t>
      </w:r>
      <w:r w:rsidRPr="00670221">
        <w:rPr>
          <w:lang w:val="en-US"/>
        </w:rPr>
        <w:t>)</w:t>
      </w:r>
      <w:r w:rsidR="00C628B9" w:rsidRPr="00670221">
        <w:rPr>
          <w:lang w:val="en-US"/>
        </w:rPr>
        <w:t>.</w:t>
      </w:r>
    </w:p>
    <w:p w14:paraId="613562F8" w14:textId="77777777" w:rsidR="00387EB6" w:rsidRPr="00670221" w:rsidRDefault="00387EB6" w:rsidP="00D45B07">
      <w:pPr>
        <w:rPr>
          <w:lang w:val="en-US"/>
        </w:rPr>
      </w:pPr>
    </w:p>
    <w:p w14:paraId="56C7A5DD" w14:textId="410540EC" w:rsidR="005A6E00" w:rsidRPr="00670221" w:rsidRDefault="005A6E00" w:rsidP="00D45B07">
      <w:pPr>
        <w:pStyle w:val="Heading3"/>
      </w:pPr>
      <w:bookmarkStart w:id="49" w:name="_Toc184403431"/>
      <w:r w:rsidRPr="00670221">
        <w:t>Hydrogen Carrier</w:t>
      </w:r>
      <w:r w:rsidR="00BE7601" w:rsidRPr="00670221">
        <w:t>s</w:t>
      </w:r>
      <w:bookmarkEnd w:id="49"/>
    </w:p>
    <w:p w14:paraId="648FF1BC" w14:textId="41106836" w:rsidR="00A74302" w:rsidRPr="00670221" w:rsidRDefault="00A74302" w:rsidP="005A6E00">
      <w:pPr>
        <w:rPr>
          <w:lang w:val="en-US"/>
        </w:rPr>
      </w:pPr>
      <w:r w:rsidRPr="00670221">
        <w:rPr>
          <w:lang w:val="en-US"/>
        </w:rPr>
        <w:t>Carbon and nitrogen can be used as hydrogen carriers due to their ability to form stable bonds with hydrogen, creating energy-dense compounds like hydrocarbons (e.g., methane, propane) and ammonia (NH</w:t>
      </w:r>
      <w:r w:rsidR="00537727" w:rsidRPr="00670221">
        <w:rPr>
          <w:vertAlign w:val="subscript"/>
          <w:lang w:val="en-US"/>
        </w:rPr>
        <w:t>3</w:t>
      </w:r>
      <w:r w:rsidRPr="00670221">
        <w:rPr>
          <w:lang w:val="en-US"/>
        </w:rPr>
        <w:t>). These compounds store energy in their chemical bonds, which can be released during combustion or other chemical reactions, making them valuable fuels.</w:t>
      </w:r>
    </w:p>
    <w:p w14:paraId="4AA3AF1B" w14:textId="08C68F46" w:rsidR="00514968" w:rsidRPr="00670221" w:rsidRDefault="00514968" w:rsidP="005A6E00">
      <w:pPr>
        <w:rPr>
          <w:lang w:val="en-US"/>
        </w:rPr>
      </w:pPr>
      <w:r w:rsidRPr="00670221">
        <w:rPr>
          <w:lang w:val="en-US"/>
        </w:rPr>
        <w:t>Carbon for fuel production can be sourced from several origins. Biomass, with its carbon-hydrogen (C-H) bonds formed through photosynthesis, is an efficient source for biofuel production. The efficiency of biomass lies in the fact that it already contains energy in the form of these C-H bonds, eliminating the need for additional hydrogen (</w:t>
      </w:r>
      <w:proofErr w:type="spellStart"/>
      <w:r w:rsidRPr="00670221">
        <w:rPr>
          <w:lang w:val="en-US"/>
        </w:rPr>
        <w:t>Habermeyer</w:t>
      </w:r>
      <w:proofErr w:type="spellEnd"/>
      <w:r w:rsidRPr="00670221">
        <w:rPr>
          <w:lang w:val="en-US"/>
        </w:rPr>
        <w:t xml:space="preserve"> et al., 2023; </w:t>
      </w:r>
      <w:proofErr w:type="spellStart"/>
      <w:r w:rsidRPr="00670221">
        <w:rPr>
          <w:lang w:val="en-US"/>
        </w:rPr>
        <w:t>Habermeyer</w:t>
      </w:r>
      <w:proofErr w:type="spellEnd"/>
      <w:r w:rsidRPr="00670221">
        <w:rPr>
          <w:lang w:val="en-US"/>
        </w:rPr>
        <w:t xml:space="preserve"> et al., 2024). </w:t>
      </w:r>
    </w:p>
    <w:p w14:paraId="39EA6E86" w14:textId="6779EF53" w:rsidR="00514177" w:rsidRPr="00670221" w:rsidRDefault="00514177" w:rsidP="005A6E00">
      <w:pPr>
        <w:rPr>
          <w:lang w:val="en-US"/>
        </w:rPr>
      </w:pPr>
      <w:r w:rsidRPr="00670221">
        <w:rPr>
          <w:lang w:val="en-US"/>
        </w:rPr>
        <w:t xml:space="preserve">Alternatively, carbon can be sourced from CO₂, which may originate from fossil-based or biogenic point sources, or directly from the atmosphere through </w:t>
      </w:r>
      <w:r w:rsidR="00537727" w:rsidRPr="00670221">
        <w:rPr>
          <w:lang w:val="en-US"/>
        </w:rPr>
        <w:t>d</w:t>
      </w:r>
      <w:r w:rsidRPr="00670221">
        <w:rPr>
          <w:lang w:val="en-US"/>
        </w:rPr>
        <w:t xml:space="preserve">irect </w:t>
      </w:r>
      <w:r w:rsidR="00537727" w:rsidRPr="00670221">
        <w:rPr>
          <w:lang w:val="en-US"/>
        </w:rPr>
        <w:t>a</w:t>
      </w:r>
      <w:r w:rsidRPr="00670221">
        <w:rPr>
          <w:lang w:val="en-US"/>
        </w:rPr>
        <w:t xml:space="preserve">ir </w:t>
      </w:r>
      <w:r w:rsidR="00537727" w:rsidRPr="00670221">
        <w:rPr>
          <w:lang w:val="en-US"/>
        </w:rPr>
        <w:t>c</w:t>
      </w:r>
      <w:r w:rsidRPr="00670221">
        <w:rPr>
          <w:lang w:val="en-US"/>
        </w:rPr>
        <w:t xml:space="preserve">apture. In these cases, CO₂ is combined with hydrogen, produced using renewable electricity, to create synthetic fuels or e-fuels. DAC has received significant attention due to its potential to produce carbon-neutral fuels, though its adoption remains slow due to high costs and technological complexity (McQueen et al., 2021; Pio et al., 2023; </w:t>
      </w:r>
      <w:proofErr w:type="spellStart"/>
      <w:r w:rsidRPr="00670221">
        <w:rPr>
          <w:lang w:val="en-US"/>
        </w:rPr>
        <w:t>Becattini</w:t>
      </w:r>
      <w:proofErr w:type="spellEnd"/>
      <w:r w:rsidRPr="00670221">
        <w:rPr>
          <w:lang w:val="en-US"/>
        </w:rPr>
        <w:t xml:space="preserve"> et al., 2021). This creates a "chicken-or-egg" problem: DAC technology is too expensive for widespread use, yet without wider adoption, costs cannot decrease through economies of scale (</w:t>
      </w:r>
      <w:proofErr w:type="spellStart"/>
      <w:r w:rsidRPr="00670221">
        <w:rPr>
          <w:lang w:val="en-US"/>
        </w:rPr>
        <w:t>Erriu</w:t>
      </w:r>
      <w:proofErr w:type="spellEnd"/>
      <w:r w:rsidRPr="00670221">
        <w:rPr>
          <w:lang w:val="en-US"/>
        </w:rPr>
        <w:t xml:space="preserve"> et al., 2024). This delay further complicates efforts to decarbonize sectors like aviation, where synthetic fuels are urgently needed.</w:t>
      </w:r>
    </w:p>
    <w:p w14:paraId="33115EA3" w14:textId="2AC6CE83" w:rsidR="005A6E00" w:rsidRPr="00670221" w:rsidRDefault="00612B10" w:rsidP="005A6E00">
      <w:pPr>
        <w:rPr>
          <w:lang w:val="en-US"/>
        </w:rPr>
      </w:pPr>
      <w:r w:rsidRPr="00670221">
        <w:rPr>
          <w:lang w:val="en-US"/>
        </w:rPr>
        <w:lastRenderedPageBreak/>
        <w:t>Lastly</w:t>
      </w:r>
      <w:r w:rsidR="005A6E00" w:rsidRPr="00670221">
        <w:rPr>
          <w:lang w:val="en-US"/>
        </w:rPr>
        <w:t>, hydrogen can be reacted with nitrogen (N</w:t>
      </w:r>
      <w:r w:rsidR="00CF4A34" w:rsidRPr="00670221">
        <w:rPr>
          <w:vertAlign w:val="subscript"/>
          <w:lang w:val="en-US"/>
        </w:rPr>
        <w:t>2</w:t>
      </w:r>
      <w:r w:rsidR="005A6E00" w:rsidRPr="00670221">
        <w:rPr>
          <w:lang w:val="en-US"/>
        </w:rPr>
        <w:t>) in the Haber-Bosch process to produce ammonia (NH</w:t>
      </w:r>
      <w:r w:rsidR="00CF4A34" w:rsidRPr="00670221">
        <w:rPr>
          <w:vertAlign w:val="subscript"/>
          <w:lang w:val="en-US"/>
        </w:rPr>
        <w:t>3</w:t>
      </w:r>
      <w:r w:rsidR="005A6E00" w:rsidRPr="00670221">
        <w:rPr>
          <w:lang w:val="en-US"/>
        </w:rPr>
        <w:t xml:space="preserve">), </w:t>
      </w:r>
      <w:r w:rsidR="00FF6E9B" w:rsidRPr="00670221">
        <w:rPr>
          <w:lang w:val="en-US"/>
        </w:rPr>
        <w:t>whic</w:t>
      </w:r>
      <w:r w:rsidR="005A6E00" w:rsidRPr="00670221">
        <w:rPr>
          <w:lang w:val="en-US"/>
        </w:rPr>
        <w:t>h serves as a hydrogen carrier and can be utilized as a fuel or as a chemical feedstock. The nitrogen required for this process is directly sourced from the atmosphere, as indicated in the diagram</w:t>
      </w:r>
      <w:r w:rsidR="001C50CE" w:rsidRPr="00670221">
        <w:rPr>
          <w:lang w:val="en-US"/>
        </w:rPr>
        <w:t xml:space="preserve"> (Grahn et al., 2022; Martin et al., 2023)</w:t>
      </w:r>
      <w:r w:rsidR="005A6E00" w:rsidRPr="00670221">
        <w:rPr>
          <w:lang w:val="en-US"/>
        </w:rPr>
        <w:t>.</w:t>
      </w:r>
    </w:p>
    <w:p w14:paraId="0A3B65A5" w14:textId="0B7A5C12" w:rsidR="005A6E00" w:rsidRPr="00670221" w:rsidRDefault="001A5DAF" w:rsidP="00D45B07">
      <w:pPr>
        <w:pStyle w:val="Heading4"/>
        <w:rPr>
          <w:lang w:val="en-US"/>
        </w:rPr>
      </w:pPr>
      <w:r w:rsidRPr="00670221">
        <w:rPr>
          <w:lang w:val="en-US"/>
        </w:rPr>
        <w:t xml:space="preserve">Biomass vs </w:t>
      </w:r>
      <w:r w:rsidR="008F54AE" w:rsidRPr="00670221">
        <w:rPr>
          <w:lang w:val="en-US"/>
        </w:rPr>
        <w:t>B</w:t>
      </w:r>
      <w:r w:rsidRPr="00670221">
        <w:rPr>
          <w:lang w:val="en-US"/>
        </w:rPr>
        <w:t>iogenic CO2</w:t>
      </w:r>
    </w:p>
    <w:p w14:paraId="41AAA12E" w14:textId="7E78F824" w:rsidR="00B730C0" w:rsidRPr="00670221" w:rsidRDefault="00C17855" w:rsidP="005A6E00">
      <w:pPr>
        <w:rPr>
          <w:lang w:val="en-US"/>
        </w:rPr>
      </w:pPr>
      <w:r w:rsidRPr="00670221">
        <w:rPr>
          <w:lang w:val="en-US"/>
        </w:rPr>
        <w:t>Biogenic CO₂ refers to carbon dioxide released from biological sources, such as the combustion or decomposition of biomass. Once captured, this CO₂ can be utilized in e-fuel production by combining it with renewable hydrogen. In contrast, biofuels are produced directly from biomass, sourcing both carbon and hydrogen from the biomass itself. The quality of the biomass dictates its processing method; lower-quality biomass may only be suitable for gasification, yielding CO and H₂, which are processed similarly to captured CO₂ and hydrogen (Grahn et al., 2022). Although gasification breaks C-H bonds, the C-H bonds</w:t>
      </w:r>
      <w:r w:rsidR="00096857" w:rsidRPr="00670221">
        <w:rPr>
          <w:lang w:val="en-US"/>
        </w:rPr>
        <w:t xml:space="preserve"> and molecules </w:t>
      </w:r>
      <w:r w:rsidRPr="00670221">
        <w:rPr>
          <w:lang w:val="en-US"/>
        </w:rPr>
        <w:t xml:space="preserve">in the final product still originate from the biomass, classifying the </w:t>
      </w:r>
      <w:proofErr w:type="gramStart"/>
      <w:r w:rsidRPr="00670221">
        <w:rPr>
          <w:lang w:val="en-US"/>
        </w:rPr>
        <w:t>end product</w:t>
      </w:r>
      <w:proofErr w:type="gramEnd"/>
      <w:r w:rsidRPr="00670221">
        <w:rPr>
          <w:lang w:val="en-US"/>
        </w:rPr>
        <w:t xml:space="preserve"> as a biofuel (</w:t>
      </w:r>
      <w:proofErr w:type="spellStart"/>
      <w:r w:rsidRPr="00670221">
        <w:rPr>
          <w:lang w:val="en-US"/>
        </w:rPr>
        <w:t>Habermeyer</w:t>
      </w:r>
      <w:proofErr w:type="spellEnd"/>
      <w:r w:rsidRPr="00670221">
        <w:rPr>
          <w:lang w:val="en-US"/>
        </w:rPr>
        <w:t xml:space="preserve"> et al., 2024). However, the challenges of biofuel production, including its environmental impact and the need for sustainable alternatives, remain critical concerns for long-term fuel production strategies (Fiorini et al., 2023; European Parliament, 2022)</w:t>
      </w:r>
      <w:r w:rsidR="00B730C0" w:rsidRPr="00670221">
        <w:rPr>
          <w:lang w:val="en-US"/>
        </w:rPr>
        <w:t>.</w:t>
      </w:r>
    </w:p>
    <w:p w14:paraId="1030B518" w14:textId="77777777" w:rsidR="00387EB6" w:rsidRPr="00670221" w:rsidRDefault="00387EB6" w:rsidP="005A6E00">
      <w:pPr>
        <w:rPr>
          <w:lang w:val="en-US"/>
        </w:rPr>
      </w:pPr>
    </w:p>
    <w:p w14:paraId="4E164A58" w14:textId="0BEB6B4B" w:rsidR="005A6E00" w:rsidRPr="00670221" w:rsidRDefault="005A6E00" w:rsidP="00D45B07">
      <w:pPr>
        <w:pStyle w:val="Heading3"/>
      </w:pPr>
      <w:bookmarkStart w:id="50" w:name="_Toc184403432"/>
      <w:r w:rsidRPr="00670221">
        <w:t>Fuel Conversion Technolog</w:t>
      </w:r>
      <w:r w:rsidR="00504C92" w:rsidRPr="00670221">
        <w:t>ies</w:t>
      </w:r>
      <w:bookmarkEnd w:id="50"/>
    </w:p>
    <w:p w14:paraId="12EDCDD6" w14:textId="30B9A23D" w:rsidR="00504C92" w:rsidRPr="00670221" w:rsidRDefault="00504C92" w:rsidP="00504C92">
      <w:pPr>
        <w:pStyle w:val="Heading4"/>
        <w:rPr>
          <w:lang w:val="en-US"/>
        </w:rPr>
      </w:pPr>
      <w:r w:rsidRPr="00670221">
        <w:rPr>
          <w:lang w:val="en-US"/>
        </w:rPr>
        <w:t>Redox Reactor</w:t>
      </w:r>
      <w:r w:rsidR="000A02CD" w:rsidRPr="00670221">
        <w:rPr>
          <w:lang w:val="en-US"/>
        </w:rPr>
        <w:t xml:space="preserve"> with Concentrated Solar Power</w:t>
      </w:r>
    </w:p>
    <w:p w14:paraId="617DA5EE" w14:textId="6CFB2666" w:rsidR="00CA0DC3" w:rsidRPr="00670221" w:rsidRDefault="009A6B20" w:rsidP="005A6E00">
      <w:pPr>
        <w:rPr>
          <w:lang w:val="en-US"/>
        </w:rPr>
      </w:pPr>
      <w:r w:rsidRPr="00670221">
        <w:rPr>
          <w:lang w:val="en-US"/>
        </w:rPr>
        <w:t xml:space="preserve">The redox reactor on the far </w:t>
      </w:r>
      <w:r w:rsidR="000A02CD" w:rsidRPr="00670221">
        <w:rPr>
          <w:lang w:val="en-US"/>
        </w:rPr>
        <w:t>left</w:t>
      </w:r>
      <w:r w:rsidRPr="00670221">
        <w:rPr>
          <w:lang w:val="en-US"/>
        </w:rPr>
        <w:t xml:space="preserve"> of diagram </w:t>
      </w:r>
      <w:r w:rsidR="000A02CD" w:rsidRPr="00670221">
        <w:rPr>
          <w:lang w:val="en-US"/>
        </w:rPr>
        <w:t>3</w:t>
      </w:r>
      <w:r w:rsidRPr="00670221">
        <w:rPr>
          <w:lang w:val="en-US"/>
        </w:rPr>
        <w:t>.2 is a promis</w:t>
      </w:r>
      <w:r w:rsidR="00517C3B" w:rsidRPr="00670221">
        <w:rPr>
          <w:lang w:val="en-US"/>
        </w:rPr>
        <w:t>i</w:t>
      </w:r>
      <w:r w:rsidRPr="00670221">
        <w:rPr>
          <w:lang w:val="en-US"/>
        </w:rPr>
        <w:t xml:space="preserve">ng technology, as it does not require an </w:t>
      </w:r>
      <w:proofErr w:type="spellStart"/>
      <w:r w:rsidRPr="00670221">
        <w:rPr>
          <w:lang w:val="en-US"/>
        </w:rPr>
        <w:t>electroly</w:t>
      </w:r>
      <w:r w:rsidR="003C3171" w:rsidRPr="00670221">
        <w:rPr>
          <w:lang w:val="en-US"/>
        </w:rPr>
        <w:t>z</w:t>
      </w:r>
      <w:r w:rsidRPr="00670221">
        <w:rPr>
          <w:lang w:val="en-US"/>
        </w:rPr>
        <w:t>er</w:t>
      </w:r>
      <w:proofErr w:type="spellEnd"/>
      <w:r w:rsidR="00504C92" w:rsidRPr="00670221">
        <w:rPr>
          <w:lang w:val="en-US"/>
        </w:rPr>
        <w:t xml:space="preserve"> and electricity for hydrogen production</w:t>
      </w:r>
      <w:r w:rsidR="0068277C" w:rsidRPr="00670221">
        <w:rPr>
          <w:lang w:val="en-US"/>
        </w:rPr>
        <w:t xml:space="preserve">. </w:t>
      </w:r>
      <w:r w:rsidR="00CA0DC3" w:rsidRPr="00670221">
        <w:rPr>
          <w:lang w:val="en-US"/>
        </w:rPr>
        <w:t xml:space="preserve">The production of solar fuels uses heat </w:t>
      </w:r>
      <w:r w:rsidR="00BE1F8D" w:rsidRPr="00670221">
        <w:rPr>
          <w:lang w:val="en-US"/>
        </w:rPr>
        <w:t xml:space="preserve">generated through concentrated solar power </w:t>
      </w:r>
      <w:r w:rsidR="00CA0DC3" w:rsidRPr="00670221">
        <w:rPr>
          <w:lang w:val="en-US"/>
        </w:rPr>
        <w:t xml:space="preserve">to </w:t>
      </w:r>
      <w:r w:rsidR="00E84DCC" w:rsidRPr="00670221">
        <w:rPr>
          <w:lang w:val="en-US"/>
        </w:rPr>
        <w:t>run</w:t>
      </w:r>
      <w:r w:rsidR="00CA0DC3" w:rsidRPr="00670221">
        <w:rPr>
          <w:lang w:val="en-US"/>
        </w:rPr>
        <w:t xml:space="preserve"> a </w:t>
      </w:r>
      <w:r w:rsidR="0068277C" w:rsidRPr="00670221">
        <w:rPr>
          <w:lang w:val="en-US"/>
        </w:rPr>
        <w:t>redox reactor</w:t>
      </w:r>
      <w:r w:rsidR="00CA0DC3" w:rsidRPr="00670221">
        <w:rPr>
          <w:lang w:val="en-US"/>
        </w:rPr>
        <w:t>.</w:t>
      </w:r>
      <w:r w:rsidR="00BE1F8D" w:rsidRPr="00670221">
        <w:rPr>
          <w:lang w:val="en-US"/>
        </w:rPr>
        <w:t xml:space="preserve"> </w:t>
      </w:r>
      <w:r w:rsidR="00CA0DC3" w:rsidRPr="00670221">
        <w:rPr>
          <w:lang w:val="en-US"/>
        </w:rPr>
        <w:t>This</w:t>
      </w:r>
      <w:r w:rsidR="0068277C" w:rsidRPr="00670221">
        <w:rPr>
          <w:lang w:val="en-US"/>
        </w:rPr>
        <w:t xml:space="preserve"> involves a two-step thermochemical cycle using a metal oxide. In the first step, the metal oxide (</w:t>
      </w:r>
      <w:proofErr w:type="spellStart"/>
      <w:r w:rsidR="0068277C" w:rsidRPr="00670221">
        <w:rPr>
          <w:lang w:val="en-US"/>
        </w:rPr>
        <w:t>MO</w:t>
      </w:r>
      <w:r w:rsidR="0068277C" w:rsidRPr="00670221">
        <w:rPr>
          <w:vertAlign w:val="subscript"/>
          <w:lang w:val="en-US"/>
        </w:rPr>
        <w:t>x</w:t>
      </w:r>
      <w:proofErr w:type="spellEnd"/>
      <w:r w:rsidR="0068277C" w:rsidRPr="00670221">
        <w:rPr>
          <w:lang w:val="en-US"/>
        </w:rPr>
        <w:t>) is heated at high temperatures, causing it to reduce by releasing oxygen, forming a reduced oxide (</w:t>
      </w:r>
      <w:proofErr w:type="spellStart"/>
      <w:r w:rsidR="0068277C" w:rsidRPr="00670221">
        <w:rPr>
          <w:lang w:val="en-US"/>
        </w:rPr>
        <w:t>MO</w:t>
      </w:r>
      <w:r w:rsidR="0068277C" w:rsidRPr="00670221">
        <w:rPr>
          <w:vertAlign w:val="subscript"/>
          <w:lang w:val="en-US"/>
        </w:rPr>
        <w:t>x</w:t>
      </w:r>
      <w:proofErr w:type="spellEnd"/>
      <w:r w:rsidR="0068277C" w:rsidRPr="00670221">
        <w:rPr>
          <w:vertAlign w:val="subscript"/>
          <w:lang w:val="en-US"/>
        </w:rPr>
        <w:t>-δ</w:t>
      </w:r>
      <w:r w:rsidR="0068277C" w:rsidRPr="00670221">
        <w:rPr>
          <w:lang w:val="en-US"/>
        </w:rPr>
        <w:t>).</w:t>
      </w:r>
      <w:r w:rsidR="005143A6" w:rsidRPr="00670221">
        <w:rPr>
          <w:lang w:val="en-US"/>
        </w:rPr>
        <w:t xml:space="preserve"> </w:t>
      </w:r>
      <w:r w:rsidR="0068277C" w:rsidRPr="00670221">
        <w:rPr>
          <w:lang w:val="en-US"/>
        </w:rPr>
        <w:t>The general reaction is:</w:t>
      </w:r>
    </w:p>
    <w:p w14:paraId="79443FBE" w14:textId="08491357" w:rsidR="0068277C" w:rsidRPr="00670221" w:rsidRDefault="00C925D5" w:rsidP="005A6E00">
      <w:pPr>
        <w:rPr>
          <w:lang w:val="en-US"/>
        </w:rPr>
      </w:pPr>
      <m:oMathPara>
        <m:oMath>
          <m:sSub>
            <m:sSubPr>
              <m:ctrlPr>
                <w:rPr>
                  <w:rFonts w:ascii="Cambria Math" w:hAnsi="Cambria Math"/>
                  <w:i/>
                  <w:lang w:val="en-US"/>
                </w:rPr>
              </m:ctrlPr>
            </m:sSubPr>
            <m:e>
              <m:r>
                <w:rPr>
                  <w:rFonts w:ascii="Cambria Math" w:hAnsi="Cambria Math"/>
                  <w:lang w:val="en-US"/>
                </w:rPr>
                <m:t>MO</m:t>
              </m:r>
            </m:e>
            <m:sub>
              <m:r>
                <w:rPr>
                  <w:rFonts w:ascii="Cambria Math" w:hAnsi="Cambria Math"/>
                  <w:lang w:val="en-US"/>
                </w:rPr>
                <m:t>x</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MO</m:t>
              </m:r>
            </m:e>
            <m:sub>
              <m:r>
                <w:rPr>
                  <w:rFonts w:ascii="Cambria Math" w:eastAsiaTheme="minorEastAsia" w:hAnsi="Cambria Math"/>
                  <w:lang w:val="en-US"/>
                </w:rPr>
                <m:t>x-δ</m:t>
              </m:r>
            </m:sub>
          </m:sSub>
          <m:r>
            <w:rPr>
              <w:rFonts w:ascii="Cambria Math" w:eastAsiaTheme="minorEastAsia" w:hAnsi="Cambria Math"/>
              <w:lang w:val="en-US"/>
            </w:rPr>
            <m:t>+</m:t>
          </m:r>
          <m:f>
            <m:fPr>
              <m:ctrlPr>
                <w:rPr>
                  <w:rFonts w:ascii="Cambria Math" w:eastAsiaTheme="minorEastAsia" w:hAnsi="Cambria Math"/>
                  <w:i/>
                  <w:lang w:val="en-US"/>
                </w:rPr>
              </m:ctrlPr>
            </m:fPr>
            <m:num>
              <m:r>
                <m:rPr>
                  <m:sty m:val="p"/>
                </m:rPr>
                <w:rPr>
                  <w:rFonts w:ascii="Cambria Math" w:hAnsi="Cambria Math"/>
                  <w:vertAlign w:val="subscript"/>
                  <w:lang w:val="en-US"/>
                </w:rPr>
                <m:t>δ</m:t>
              </m:r>
            </m:num>
            <m:den>
              <m:r>
                <w:rPr>
                  <w:rFonts w:ascii="Cambria Math" w:eastAsiaTheme="minorEastAsia" w:hAnsi="Cambria Math"/>
                  <w:lang w:val="en-US"/>
                </w:rPr>
                <m:t>2</m:t>
              </m:r>
            </m:den>
          </m:f>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m:t>
              </m:r>
            </m:sub>
          </m:sSub>
        </m:oMath>
      </m:oMathPara>
    </w:p>
    <w:p w14:paraId="445FF3FC" w14:textId="543F90B8" w:rsidR="00CA0DC3" w:rsidRPr="00670221" w:rsidRDefault="00CA0DC3" w:rsidP="00CA0DC3">
      <w:pPr>
        <w:rPr>
          <w:lang w:val="en-US"/>
        </w:rPr>
      </w:pPr>
      <w:r w:rsidRPr="00670221">
        <w:rPr>
          <w:lang w:val="en-US"/>
        </w:rPr>
        <w:t>In the second step, the reduced metal oxide is re-oxidized by reacting with CO</w:t>
      </w:r>
      <w:r w:rsidR="00B12067">
        <w:rPr>
          <w:vertAlign w:val="subscript"/>
          <w:lang w:val="en-US"/>
        </w:rPr>
        <w:t>2</w:t>
      </w:r>
      <w:r w:rsidRPr="00670221">
        <w:rPr>
          <w:lang w:val="en-US"/>
        </w:rPr>
        <w:t xml:space="preserve"> and/or </w:t>
      </w:r>
      <w:r w:rsidR="00B12067">
        <w:rPr>
          <w:lang w:val="en-US"/>
        </w:rPr>
        <w:t>H</w:t>
      </w:r>
      <w:r w:rsidR="00B12067">
        <w:rPr>
          <w:vertAlign w:val="subscript"/>
          <w:lang w:val="en-US"/>
        </w:rPr>
        <w:t>2</w:t>
      </w:r>
      <w:r w:rsidR="00B12067">
        <w:rPr>
          <w:lang w:val="en-US"/>
        </w:rPr>
        <w:t>O</w:t>
      </w:r>
      <w:r w:rsidRPr="00670221">
        <w:rPr>
          <w:lang w:val="en-US"/>
        </w:rPr>
        <w:t xml:space="preserve"> at a lower temperature, producing CO and/or H</w:t>
      </w:r>
      <w:r w:rsidR="00B12067">
        <w:rPr>
          <w:vertAlign w:val="subscript"/>
          <w:lang w:val="en-US"/>
        </w:rPr>
        <w:t>2</w:t>
      </w:r>
      <w:r w:rsidRPr="00670221">
        <w:rPr>
          <w:lang w:val="en-US"/>
        </w:rPr>
        <w:t>:</w:t>
      </w:r>
    </w:p>
    <w:p w14:paraId="4B86D457" w14:textId="77777777" w:rsidR="009A6B20" w:rsidRPr="00670221" w:rsidRDefault="00C925D5" w:rsidP="00CA0DC3">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MO</m:t>
              </m:r>
            </m:e>
            <m:sub>
              <m:r>
                <w:rPr>
                  <w:rFonts w:ascii="Cambria Math" w:eastAsiaTheme="minorEastAsia" w:hAnsi="Cambria Math"/>
                  <w:lang w:val="en-US"/>
                </w:rPr>
                <m:t>x-</m:t>
              </m:r>
              <m:r>
                <m:rPr>
                  <m:sty m:val="p"/>
                </m:rPr>
                <w:rPr>
                  <w:rFonts w:ascii="Cambria Math" w:hAnsi="Cambria Math"/>
                  <w:vertAlign w:val="subscript"/>
                  <w:lang w:val="en-US"/>
                </w:rPr>
                <m:t>δ</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δCO</m:t>
              </m:r>
            </m:e>
            <m:sub>
              <m:r>
                <w:rPr>
                  <w:rFonts w:ascii="Cambria Math" w:eastAsiaTheme="minorEastAsia"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MO</m:t>
              </m:r>
            </m:e>
            <m:sub>
              <m:r>
                <w:rPr>
                  <w:rFonts w:ascii="Cambria Math" w:eastAsiaTheme="minorEastAsia" w:hAnsi="Cambria Math"/>
                  <w:lang w:val="en-US"/>
                </w:rPr>
                <m:t>x</m:t>
              </m:r>
            </m:sub>
          </m:sSub>
          <m:r>
            <w:rPr>
              <w:rFonts w:ascii="Cambria Math" w:eastAsiaTheme="minorEastAsia" w:hAnsi="Cambria Math"/>
              <w:lang w:val="en-US"/>
            </w:rPr>
            <m:t>+δCO</m:t>
          </m:r>
        </m:oMath>
      </m:oMathPara>
    </w:p>
    <w:p w14:paraId="4BA1ACB6" w14:textId="0E8CF9BB" w:rsidR="00CA0DC3" w:rsidRPr="00670221" w:rsidRDefault="00C925D5" w:rsidP="00CA0DC3">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MO</m:t>
              </m:r>
            </m:e>
            <m:sub>
              <m:r>
                <w:rPr>
                  <w:rFonts w:ascii="Cambria Math" w:eastAsiaTheme="minorEastAsia" w:hAnsi="Cambria Math"/>
                  <w:lang w:val="en-US"/>
                </w:rPr>
                <m:t>x-</m:t>
              </m:r>
              <m:r>
                <m:rPr>
                  <m:sty m:val="p"/>
                </m:rPr>
                <w:rPr>
                  <w:rFonts w:ascii="Cambria Math" w:hAnsi="Cambria Math"/>
                  <w:vertAlign w:val="subscript"/>
                  <w:lang w:val="en-US"/>
                </w:rPr>
                <m:t>δ</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δH</m:t>
              </m:r>
            </m:e>
            <m:sub>
              <m:r>
                <w:rPr>
                  <w:rFonts w:ascii="Cambria Math" w:eastAsiaTheme="minorEastAsia" w:hAnsi="Cambria Math"/>
                  <w:lang w:val="en-US"/>
                </w:rPr>
                <m:t>2</m:t>
              </m:r>
            </m:sub>
          </m:sSub>
          <m:r>
            <w:rPr>
              <w:rFonts w:ascii="Cambria Math" w:hAnsi="Cambria Math"/>
              <w:lang w:val="en-US"/>
            </w:rPr>
            <m:t>O→</m:t>
          </m:r>
          <m:sSub>
            <m:sSubPr>
              <m:ctrlPr>
                <w:rPr>
                  <w:rFonts w:ascii="Cambria Math" w:eastAsiaTheme="minorEastAsia" w:hAnsi="Cambria Math"/>
                  <w:i/>
                  <w:lang w:val="en-US"/>
                </w:rPr>
              </m:ctrlPr>
            </m:sSubPr>
            <m:e>
              <m:r>
                <w:rPr>
                  <w:rFonts w:ascii="Cambria Math" w:eastAsiaTheme="minorEastAsia" w:hAnsi="Cambria Math"/>
                  <w:lang w:val="en-US"/>
                </w:rPr>
                <m:t>MO</m:t>
              </m:r>
            </m:e>
            <m:sub>
              <m:r>
                <w:rPr>
                  <w:rFonts w:ascii="Cambria Math" w:eastAsiaTheme="minorEastAsia" w:hAnsi="Cambria Math"/>
                  <w:lang w:val="en-US"/>
                </w:rPr>
                <m:t>x</m:t>
              </m:r>
            </m:sub>
          </m:sSub>
          <m:r>
            <w:rPr>
              <w:rFonts w:ascii="Cambria Math" w:eastAsiaTheme="minorEastAsia" w:hAnsi="Cambria Math"/>
              <w:lang w:val="en-US"/>
            </w:rPr>
            <m:t>+δ</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oMath>
      </m:oMathPara>
    </w:p>
    <w:p w14:paraId="4D308B43" w14:textId="67095495" w:rsidR="00CA0DC3" w:rsidRPr="00670221" w:rsidRDefault="00CA0DC3" w:rsidP="00CA0DC3">
      <w:pPr>
        <w:rPr>
          <w:lang w:val="en-US"/>
        </w:rPr>
      </w:pPr>
      <w:r w:rsidRPr="00670221">
        <w:rPr>
          <w:lang w:val="en-US"/>
        </w:rPr>
        <w:t>This cycle allows for the direct conversion of CO</w:t>
      </w:r>
      <w:r w:rsidRPr="00B12067">
        <w:rPr>
          <w:vertAlign w:val="subscript"/>
          <w:lang w:val="en-US"/>
        </w:rPr>
        <w:t>2</w:t>
      </w:r>
      <w:r w:rsidRPr="00670221">
        <w:rPr>
          <w:lang w:val="en-US"/>
        </w:rPr>
        <w:t xml:space="preserve"> and H</w:t>
      </w:r>
      <w:r w:rsidRPr="00B12067">
        <w:rPr>
          <w:vertAlign w:val="subscript"/>
          <w:lang w:val="en-US"/>
        </w:rPr>
        <w:t>2</w:t>
      </w:r>
      <w:r w:rsidRPr="00670221">
        <w:rPr>
          <w:lang w:val="en-US"/>
        </w:rPr>
        <w:t xml:space="preserve">O into syngas, which can be further processed into liquid fuels. The metal oxide is not consumed, allowing the process to be repeated continuously. </w:t>
      </w:r>
      <w:r w:rsidR="009A6B20" w:rsidRPr="00670221">
        <w:rPr>
          <w:lang w:val="en-US"/>
        </w:rPr>
        <w:t>(Moretti et al., 2023; Prats-</w:t>
      </w:r>
      <w:proofErr w:type="spellStart"/>
      <w:r w:rsidR="009A6B20" w:rsidRPr="00670221">
        <w:rPr>
          <w:lang w:val="en-US"/>
        </w:rPr>
        <w:t>Salvado</w:t>
      </w:r>
      <w:proofErr w:type="spellEnd"/>
      <w:r w:rsidR="009A6B20" w:rsidRPr="00670221">
        <w:rPr>
          <w:lang w:val="en-US"/>
        </w:rPr>
        <w:t xml:space="preserve"> et al., 2022).</w:t>
      </w:r>
    </w:p>
    <w:p w14:paraId="3733C960" w14:textId="518A4EB3" w:rsidR="006070BB" w:rsidRPr="00670221" w:rsidRDefault="006070BB" w:rsidP="00CA0DC3">
      <w:pPr>
        <w:rPr>
          <w:lang w:val="en-US"/>
        </w:rPr>
      </w:pPr>
      <w:r w:rsidRPr="00670221">
        <w:rPr>
          <w:lang w:val="en-US"/>
        </w:rPr>
        <w:t xml:space="preserve">Solar thermochemical energy conversion shows promise for producing fuels at lower costs, especially when integrated with technologies like DAC to utilize waste heat effectively, leading to reduced fuel production costs. This is evident in these </w:t>
      </w:r>
      <w:r w:rsidR="00311D1A" w:rsidRPr="00670221">
        <w:rPr>
          <w:lang w:val="en-US"/>
        </w:rPr>
        <w:t>technologies</w:t>
      </w:r>
      <w:r w:rsidRPr="00670221">
        <w:rPr>
          <w:lang w:val="en-US"/>
        </w:rPr>
        <w:t xml:space="preserve"> having lower fuel prices than standard ones. However, the approach faces challenges, including complexity, limited scalability, efficiency concerns, and higher upfront costs compared to established technologies like photovoltaics. </w:t>
      </w:r>
    </w:p>
    <w:p w14:paraId="35412457" w14:textId="2D304BFA" w:rsidR="00504C92" w:rsidRPr="00670221" w:rsidRDefault="00504C92" w:rsidP="00504C92">
      <w:pPr>
        <w:pStyle w:val="Heading4"/>
        <w:rPr>
          <w:lang w:val="en-US"/>
        </w:rPr>
      </w:pPr>
      <w:r w:rsidRPr="00670221">
        <w:rPr>
          <w:lang w:val="en-US"/>
        </w:rPr>
        <w:lastRenderedPageBreak/>
        <w:t xml:space="preserve">HEFA </w:t>
      </w:r>
    </w:p>
    <w:p w14:paraId="1F1BEED4" w14:textId="534E4C02" w:rsidR="00504C92" w:rsidRPr="00670221" w:rsidRDefault="00504C92" w:rsidP="00504C92">
      <w:pPr>
        <w:rPr>
          <w:lang w:val="en-US"/>
        </w:rPr>
      </w:pPr>
      <w:r w:rsidRPr="00670221">
        <w:rPr>
          <w:lang w:val="en-US"/>
        </w:rPr>
        <w:t>HEFA (</w:t>
      </w:r>
      <w:proofErr w:type="spellStart"/>
      <w:r w:rsidRPr="00670221">
        <w:rPr>
          <w:lang w:val="en-US"/>
        </w:rPr>
        <w:t>Hydroprocessed</w:t>
      </w:r>
      <w:proofErr w:type="spellEnd"/>
      <w:r w:rsidRPr="00670221">
        <w:rPr>
          <w:lang w:val="en-US"/>
        </w:rPr>
        <w:t xml:space="preserve"> Esters and Fatty Acids) is a process that converts renewable lipids, such as used cooking oils and fats, into jet fuel. </w:t>
      </w:r>
      <w:r w:rsidR="00D5144B" w:rsidRPr="00670221">
        <w:rPr>
          <w:lang w:val="en-US"/>
        </w:rPr>
        <w:t xml:space="preserve">While </w:t>
      </w:r>
      <w:proofErr w:type="gramStart"/>
      <w:r w:rsidR="00D5144B" w:rsidRPr="00670221">
        <w:rPr>
          <w:lang w:val="en-US"/>
        </w:rPr>
        <w:t>a number of</w:t>
      </w:r>
      <w:proofErr w:type="gramEnd"/>
      <w:r w:rsidR="00D5144B" w:rsidRPr="00670221">
        <w:rPr>
          <w:lang w:val="en-US"/>
        </w:rPr>
        <w:t xml:space="preserve"> alternative methods fall within the broader HEFA framework, t</w:t>
      </w:r>
      <w:r w:rsidRPr="00670221">
        <w:rPr>
          <w:lang w:val="en-US"/>
        </w:rPr>
        <w:t xml:space="preserve">he process </w:t>
      </w:r>
      <w:r w:rsidR="00D5144B" w:rsidRPr="00670221">
        <w:rPr>
          <w:lang w:val="en-US"/>
        </w:rPr>
        <w:t xml:space="preserve">mainly </w:t>
      </w:r>
      <w:r w:rsidRPr="00670221">
        <w:rPr>
          <w:lang w:val="en-US"/>
        </w:rPr>
        <w:t>involves hydrotreating, where hydrogen is added to remove oxygen, followed by cracking and isomerization to produce hydrocarbons similar to those found in conventional jet fuel</w:t>
      </w:r>
      <w:r w:rsidR="00692884" w:rsidRPr="00670221">
        <w:rPr>
          <w:lang w:val="en-US"/>
        </w:rPr>
        <w:t xml:space="preserve"> (Grahn et al. 2022; Grimme, Peacock et al., 2024)</w:t>
      </w:r>
      <w:r w:rsidRPr="00670221">
        <w:rPr>
          <w:lang w:val="en-US"/>
        </w:rPr>
        <w:t xml:space="preserve">. </w:t>
      </w:r>
      <w:r w:rsidR="009C5C34" w:rsidRPr="00670221">
        <w:rPr>
          <w:lang w:val="en-US"/>
        </w:rPr>
        <w:t>This method is highly efficient</w:t>
      </w:r>
      <w:r w:rsidR="00C62BCC" w:rsidRPr="00670221">
        <w:rPr>
          <w:lang w:val="en-US"/>
        </w:rPr>
        <w:t xml:space="preserve"> and the least expensive SAF option</w:t>
      </w:r>
      <w:r w:rsidR="009C5C34" w:rsidRPr="00670221">
        <w:rPr>
          <w:lang w:val="en-US"/>
        </w:rPr>
        <w:t>, which is demonstrated by it being the dominant pathway in current global announcements, representing 85% of announced capacity until 2030 (</w:t>
      </w:r>
      <w:r w:rsidR="00962862" w:rsidRPr="00670221">
        <w:rPr>
          <w:lang w:val="en-US"/>
        </w:rPr>
        <w:t xml:space="preserve">Dietrich et al., 2023; </w:t>
      </w:r>
      <w:proofErr w:type="spellStart"/>
      <w:r w:rsidR="009C5C34" w:rsidRPr="00670221">
        <w:rPr>
          <w:lang w:val="en-US"/>
        </w:rPr>
        <w:t>SkyNRG</w:t>
      </w:r>
      <w:proofErr w:type="spellEnd"/>
      <w:r w:rsidR="009C5C34" w:rsidRPr="00670221">
        <w:rPr>
          <w:lang w:val="en-US"/>
        </w:rPr>
        <w:t>, 2024)</w:t>
      </w:r>
      <w:r w:rsidR="00C30E69" w:rsidRPr="00670221">
        <w:rPr>
          <w:lang w:val="en-US"/>
        </w:rPr>
        <w:t>. The largest issue is related to feedstock, as the supply of waste oils is very limited</w:t>
      </w:r>
      <w:r w:rsidR="009C5C34" w:rsidRPr="00670221">
        <w:rPr>
          <w:lang w:val="en-US"/>
        </w:rPr>
        <w:t xml:space="preserve"> (Grahn et al., 2022, Peacock et al., 2024; et al.</w:t>
      </w:r>
      <w:r w:rsidR="006338ED" w:rsidRPr="00670221">
        <w:rPr>
          <w:lang w:val="en-US"/>
        </w:rPr>
        <w:t xml:space="preserve"> Williams</w:t>
      </w:r>
      <w:r w:rsidR="009C5C34" w:rsidRPr="00670221">
        <w:rPr>
          <w:lang w:val="en-US"/>
        </w:rPr>
        <w:t>, 2015).</w:t>
      </w:r>
      <w:r w:rsidR="007B65A1" w:rsidRPr="00670221">
        <w:rPr>
          <w:lang w:val="en-US"/>
        </w:rPr>
        <w:t xml:space="preserve"> </w:t>
      </w:r>
    </w:p>
    <w:p w14:paraId="36E56DF5" w14:textId="09377B9F" w:rsidR="00504C92" w:rsidRPr="00670221" w:rsidRDefault="00504C92" w:rsidP="00504C92">
      <w:pPr>
        <w:pStyle w:val="Heading4"/>
        <w:rPr>
          <w:lang w:val="en-US"/>
        </w:rPr>
      </w:pPr>
      <w:r w:rsidRPr="00670221">
        <w:rPr>
          <w:lang w:val="en-US"/>
        </w:rPr>
        <w:t xml:space="preserve">Alcohol-to-Jet </w:t>
      </w:r>
    </w:p>
    <w:p w14:paraId="34DA2925" w14:textId="10B84C17" w:rsidR="00D5144B" w:rsidRPr="00670221" w:rsidRDefault="00D5144B" w:rsidP="00504C92">
      <w:pPr>
        <w:rPr>
          <w:lang w:val="en-US"/>
        </w:rPr>
      </w:pPr>
      <w:r w:rsidRPr="00670221">
        <w:rPr>
          <w:lang w:val="en-US"/>
        </w:rPr>
        <w:t xml:space="preserve">The </w:t>
      </w:r>
      <w:r w:rsidR="005D7962" w:rsidRPr="00670221">
        <w:rPr>
          <w:lang w:val="en-US"/>
        </w:rPr>
        <w:t>a</w:t>
      </w:r>
      <w:r w:rsidRPr="00670221">
        <w:rPr>
          <w:lang w:val="en-US"/>
        </w:rPr>
        <w:t>lcohol-to-</w:t>
      </w:r>
      <w:r w:rsidR="005D7962" w:rsidRPr="00670221">
        <w:rPr>
          <w:lang w:val="en-US"/>
        </w:rPr>
        <w:t>j</w:t>
      </w:r>
      <w:r w:rsidRPr="00670221">
        <w:rPr>
          <w:lang w:val="en-US"/>
        </w:rPr>
        <w:t>et (ATJ) process converts alcohols, such as ethanol or butanol, into jet fuel, with these alcohols typically derived from starch/sugar-producing feedstocks (Dietrich et al., 2023). The production of these alcohols begins with the fermentation of biomass, such as corn, sugarcane, or cellulosic materials, where sugars are converted into ethanol or butanol. Once the alcohol is produced, it undergoes dehydration to form olefins, which are then oligomerized and hydrogenated to produce hydrocarbons</w:t>
      </w:r>
      <w:r w:rsidR="003572A4" w:rsidRPr="00670221">
        <w:rPr>
          <w:lang w:val="en-US"/>
        </w:rPr>
        <w:t xml:space="preserve"> (Peacock et al., 2024)</w:t>
      </w:r>
      <w:r w:rsidRPr="00670221">
        <w:rPr>
          <w:lang w:val="en-US"/>
        </w:rPr>
        <w:t>. This pathway is highly flexible, utilizing various biomass sources and contributing to sustainable aviation fuel production by converting renewable alcohols into drop-in jet fuels.</w:t>
      </w:r>
    </w:p>
    <w:p w14:paraId="4F83B34D" w14:textId="21EF1797" w:rsidR="00504C92" w:rsidRPr="00670221" w:rsidRDefault="00504C92" w:rsidP="00504C92">
      <w:pPr>
        <w:pStyle w:val="Heading4"/>
        <w:rPr>
          <w:lang w:val="en-US"/>
        </w:rPr>
      </w:pPr>
      <w:r w:rsidRPr="00670221">
        <w:rPr>
          <w:lang w:val="en-US"/>
        </w:rPr>
        <w:t>Methanol Synthesis followed by Methanol-to-Jet</w:t>
      </w:r>
    </w:p>
    <w:p w14:paraId="5330A012" w14:textId="028C75BE" w:rsidR="00E0487F" w:rsidRPr="00670221" w:rsidRDefault="00E0487F" w:rsidP="00504C92">
      <w:pPr>
        <w:rPr>
          <w:lang w:val="en-US"/>
        </w:rPr>
      </w:pPr>
      <w:r w:rsidRPr="00670221">
        <w:rPr>
          <w:lang w:val="en-US"/>
        </w:rPr>
        <w:t xml:space="preserve">Methanol synthesis can be performed using either syngas or a combination of </w:t>
      </w:r>
      <w:r w:rsidR="00CF4A34" w:rsidRPr="00670221">
        <w:rPr>
          <w:lang w:val="en-US"/>
        </w:rPr>
        <w:t xml:space="preserve">CO₂ </w:t>
      </w:r>
      <w:r w:rsidRPr="00670221">
        <w:rPr>
          <w:lang w:val="en-US"/>
        </w:rPr>
        <w:t>and green hydrogen</w:t>
      </w:r>
      <w:r w:rsidR="00716362" w:rsidRPr="00670221">
        <w:rPr>
          <w:lang w:val="en-US"/>
        </w:rPr>
        <w:t xml:space="preserve"> (</w:t>
      </w:r>
      <w:proofErr w:type="spellStart"/>
      <w:r w:rsidR="00716362" w:rsidRPr="00670221">
        <w:rPr>
          <w:lang w:val="en-US"/>
        </w:rPr>
        <w:t>eyberg</w:t>
      </w:r>
      <w:proofErr w:type="spellEnd"/>
      <w:r w:rsidR="00716362" w:rsidRPr="00670221">
        <w:rPr>
          <w:lang w:val="en-US"/>
        </w:rPr>
        <w:t xml:space="preserve"> et al., 2024)</w:t>
      </w:r>
      <w:r w:rsidRPr="00670221">
        <w:rPr>
          <w:lang w:val="en-US"/>
        </w:rPr>
        <w:t>. Syngas can be produced from the redox reactor, co-electrolysis or from biomass</w:t>
      </w:r>
      <w:r w:rsidR="00716362" w:rsidRPr="00670221">
        <w:rPr>
          <w:lang w:val="en-US"/>
        </w:rPr>
        <w:t xml:space="preserve">, as indicated by the purple arrows in figure </w:t>
      </w:r>
      <w:r w:rsidR="00B661B7" w:rsidRPr="00670221">
        <w:rPr>
          <w:lang w:val="en-US"/>
        </w:rPr>
        <w:t>3</w:t>
      </w:r>
      <w:r w:rsidR="00716362" w:rsidRPr="00670221">
        <w:rPr>
          <w:lang w:val="en-US"/>
        </w:rPr>
        <w:t>.2</w:t>
      </w:r>
      <w:r w:rsidRPr="00670221">
        <w:rPr>
          <w:lang w:val="en-US"/>
        </w:rPr>
        <w:t>. When using biomass as a feedstock, the gasification process produces syngas</w:t>
      </w:r>
      <w:r w:rsidR="00290A9C" w:rsidRPr="00670221">
        <w:rPr>
          <w:lang w:val="en-US"/>
        </w:rPr>
        <w:t xml:space="preserve"> </w:t>
      </w:r>
      <w:r w:rsidRPr="00670221">
        <w:rPr>
          <w:lang w:val="en-US"/>
        </w:rPr>
        <w:t>which is then converted to methanol via the reaction:</w:t>
      </w:r>
    </w:p>
    <w:p w14:paraId="551C1651" w14:textId="5F4F5019" w:rsidR="00E0487F" w:rsidRPr="00670221" w:rsidRDefault="00E0487F" w:rsidP="00504C92">
      <w:pPr>
        <w:rPr>
          <w:lang w:val="en-US"/>
        </w:rPr>
      </w:pPr>
      <m:oMathPara>
        <m:oMath>
          <m:r>
            <w:rPr>
              <w:rFonts w:ascii="Cambria Math" w:hAnsi="Cambria Math"/>
              <w:lang w:val="en-US"/>
            </w:rPr>
            <m:t>CO+2</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CH</m:t>
              </m:r>
            </m:e>
            <m:sub>
              <m:r>
                <w:rPr>
                  <w:rFonts w:ascii="Cambria Math" w:hAnsi="Cambria Math"/>
                  <w:lang w:val="en-US"/>
                </w:rPr>
                <m:t>3</m:t>
              </m:r>
            </m:sub>
          </m:sSub>
          <m:r>
            <w:rPr>
              <w:rFonts w:ascii="Cambria Math" w:hAnsi="Cambria Math"/>
              <w:lang w:val="en-US"/>
            </w:rPr>
            <m:t>OH</m:t>
          </m:r>
        </m:oMath>
      </m:oMathPara>
    </w:p>
    <w:p w14:paraId="5A29953C" w14:textId="180A78F1" w:rsidR="00D11DBE" w:rsidRPr="00670221" w:rsidRDefault="00D11DBE" w:rsidP="00E0487F">
      <w:pPr>
        <w:rPr>
          <w:lang w:val="en-US"/>
        </w:rPr>
      </w:pPr>
      <w:r w:rsidRPr="00670221">
        <w:rPr>
          <w:lang w:val="en-US"/>
        </w:rPr>
        <w:t xml:space="preserve">Syngas will not be sourced from the </w:t>
      </w:r>
      <w:r w:rsidR="00DF5345">
        <w:rPr>
          <w:lang w:val="en-US"/>
        </w:rPr>
        <w:t xml:space="preserve">RWGS </w:t>
      </w:r>
      <w:r w:rsidRPr="00670221">
        <w:rPr>
          <w:lang w:val="en-US"/>
        </w:rPr>
        <w:t>reacto</w:t>
      </w:r>
      <w:r w:rsidR="002472C5" w:rsidRPr="00670221">
        <w:rPr>
          <w:lang w:val="en-US"/>
        </w:rPr>
        <w:t>r</w:t>
      </w:r>
      <w:r w:rsidRPr="00670221">
        <w:rPr>
          <w:lang w:val="en-US"/>
        </w:rPr>
        <w:t>, as methanol can be synthesized directly from CO₂ and green hydrogen. This process co-produces water via the following reaction:</w:t>
      </w:r>
    </w:p>
    <w:p w14:paraId="7C407A91" w14:textId="51E6DA38" w:rsidR="00E0487F" w:rsidRPr="00670221" w:rsidRDefault="00C925D5" w:rsidP="00E0487F">
      <w:pPr>
        <w:rPr>
          <w:lang w:val="en-US"/>
        </w:rPr>
      </w:pPr>
      <m:oMathPara>
        <m:oMath>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CH</m:t>
              </m:r>
            </m:e>
            <m:sub>
              <m:r>
                <w:rPr>
                  <w:rFonts w:ascii="Cambria Math" w:hAnsi="Cambria Math"/>
                  <w:lang w:val="en-US"/>
                </w:rPr>
                <m:t>3</m:t>
              </m:r>
            </m:sub>
          </m:sSub>
          <m:r>
            <w:rPr>
              <w:rFonts w:ascii="Cambria Math" w:hAnsi="Cambria Math"/>
              <w:lang w:val="en-US"/>
            </w:rPr>
            <m:t>OH+</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oMath>
      </m:oMathPara>
    </w:p>
    <w:p w14:paraId="18D96D6F" w14:textId="7D1F8D58" w:rsidR="00576063" w:rsidRPr="00670221" w:rsidRDefault="00290A9C" w:rsidP="00576063">
      <w:pPr>
        <w:rPr>
          <w:lang w:val="en-US"/>
        </w:rPr>
      </w:pPr>
      <w:r w:rsidRPr="00670221">
        <w:rPr>
          <w:lang w:val="en-US"/>
        </w:rPr>
        <w:t xml:space="preserve">Both reactions are exothermic and operate at high temperatures and pressures (Grahn et al., 2022). </w:t>
      </w:r>
      <w:r w:rsidR="00504C92" w:rsidRPr="00670221">
        <w:rPr>
          <w:lang w:val="en-US"/>
        </w:rPr>
        <w:t xml:space="preserve">This methanol can then be processed into jet fuel through the </w:t>
      </w:r>
      <w:r w:rsidR="005D7962" w:rsidRPr="00670221">
        <w:rPr>
          <w:lang w:val="en-US"/>
        </w:rPr>
        <w:t>m</w:t>
      </w:r>
      <w:r w:rsidR="00504C92" w:rsidRPr="00670221">
        <w:rPr>
          <w:lang w:val="en-US"/>
        </w:rPr>
        <w:t>ethanol-to-</w:t>
      </w:r>
      <w:r w:rsidR="005D7962" w:rsidRPr="00670221">
        <w:rPr>
          <w:lang w:val="en-US"/>
        </w:rPr>
        <w:t>j</w:t>
      </w:r>
      <w:r w:rsidR="00504C92" w:rsidRPr="00670221">
        <w:rPr>
          <w:lang w:val="en-US"/>
        </w:rPr>
        <w:t>et (MTJ) process. In MTJ, methanol undergoes dehydration, oligomerization, and hydrogenation to produce jet fuel</w:t>
      </w:r>
      <w:r w:rsidR="00576063" w:rsidRPr="00670221">
        <w:rPr>
          <w:lang w:val="en-US"/>
        </w:rPr>
        <w:t>. These techniques were originally developed for fossil raw materials, where methanol synthesis is a well-established and industrially proven technology. They have since been adapted for renewable fuel production, providing a sustainable pathway for jet fuel synthesis (</w:t>
      </w:r>
      <w:proofErr w:type="spellStart"/>
      <w:r w:rsidR="00576063" w:rsidRPr="00670221">
        <w:rPr>
          <w:lang w:val="en-US"/>
        </w:rPr>
        <w:t>Ruokonen</w:t>
      </w:r>
      <w:proofErr w:type="spellEnd"/>
      <w:r w:rsidR="00576063" w:rsidRPr="00670221">
        <w:rPr>
          <w:lang w:val="en-US"/>
        </w:rPr>
        <w:t xml:space="preserve"> et al., 2021).</w:t>
      </w:r>
    </w:p>
    <w:p w14:paraId="7A50585E" w14:textId="36E97823" w:rsidR="00504C92" w:rsidRPr="00670221" w:rsidRDefault="00504C92" w:rsidP="00576063">
      <w:pPr>
        <w:pStyle w:val="Heading4"/>
        <w:rPr>
          <w:lang w:val="en-US"/>
        </w:rPr>
      </w:pPr>
      <w:r w:rsidRPr="00670221">
        <w:rPr>
          <w:lang w:val="en-US"/>
        </w:rPr>
        <w:t>Syngas/</w:t>
      </w:r>
      <w:r w:rsidR="00600BC3">
        <w:rPr>
          <w:lang w:val="en-US"/>
        </w:rPr>
        <w:t>R</w:t>
      </w:r>
      <w:r w:rsidRPr="00670221">
        <w:rPr>
          <w:lang w:val="en-US"/>
        </w:rPr>
        <w:t>WGS Reactor</w:t>
      </w:r>
    </w:p>
    <w:p w14:paraId="357F3F9C" w14:textId="50C16EC8" w:rsidR="0029672D" w:rsidRPr="00670221" w:rsidRDefault="0029672D" w:rsidP="0029672D">
      <w:pPr>
        <w:rPr>
          <w:lang w:val="en-US"/>
        </w:rPr>
      </w:pPr>
      <w:r w:rsidRPr="00670221">
        <w:rPr>
          <w:lang w:val="en-US"/>
        </w:rPr>
        <w:t>The syngas reactor is a critical component in processes requiring a specific mixture of carbon monoxide and hydrogen, such as Fischer-</w:t>
      </w:r>
      <w:proofErr w:type="spellStart"/>
      <w:r w:rsidRPr="00670221">
        <w:rPr>
          <w:lang w:val="en-US"/>
        </w:rPr>
        <w:t>Tropsch</w:t>
      </w:r>
      <w:proofErr w:type="spellEnd"/>
      <w:r w:rsidRPr="00670221">
        <w:rPr>
          <w:lang w:val="en-US"/>
        </w:rPr>
        <w:t xml:space="preserve"> synthesis. </w:t>
      </w:r>
      <w:r w:rsidR="003E0C0E" w:rsidRPr="00670221">
        <w:rPr>
          <w:lang w:val="en-US"/>
        </w:rPr>
        <w:t xml:space="preserve">This technology is relatively new and has a low </w:t>
      </w:r>
      <w:r w:rsidR="00441821" w:rsidRPr="00670221">
        <w:rPr>
          <w:lang w:val="en-US"/>
        </w:rPr>
        <w:t>TRL</w:t>
      </w:r>
      <w:r w:rsidR="003E0C0E" w:rsidRPr="00670221">
        <w:rPr>
          <w:lang w:val="en-US"/>
        </w:rPr>
        <w:t xml:space="preserve"> </w:t>
      </w:r>
      <w:r w:rsidR="005B2B2A" w:rsidRPr="00670221">
        <w:rPr>
          <w:lang w:val="en-US"/>
        </w:rPr>
        <w:t>of 5</w:t>
      </w:r>
      <w:r w:rsidR="001F6BE2" w:rsidRPr="00670221">
        <w:rPr>
          <w:lang w:val="en-US"/>
        </w:rPr>
        <w:t xml:space="preserve">-6 </w:t>
      </w:r>
      <w:r w:rsidR="003E0C0E" w:rsidRPr="00670221">
        <w:rPr>
          <w:lang w:val="en-US"/>
        </w:rPr>
        <w:t>according to Rojas-</w:t>
      </w:r>
      <w:proofErr w:type="spellStart"/>
      <w:r w:rsidR="003E0C0E" w:rsidRPr="00670221">
        <w:rPr>
          <w:lang w:val="en-US"/>
        </w:rPr>
        <w:t>Michaga</w:t>
      </w:r>
      <w:proofErr w:type="spellEnd"/>
      <w:r w:rsidR="003E0C0E" w:rsidRPr="00670221">
        <w:rPr>
          <w:lang w:val="en-US"/>
        </w:rPr>
        <w:t xml:space="preserve"> (2023), with only limited data available (Sherwin, 2021; Zang et al., 2021). The reactor employs the reverse water-gas shift</w:t>
      </w:r>
      <w:r w:rsidR="00E83D4B" w:rsidRPr="00670221">
        <w:rPr>
          <w:lang w:val="en-US"/>
        </w:rPr>
        <w:t xml:space="preserve"> </w:t>
      </w:r>
      <w:r w:rsidR="003E0C0E" w:rsidRPr="00670221">
        <w:rPr>
          <w:lang w:val="en-US"/>
        </w:rPr>
        <w:t xml:space="preserve">reaction to convert carbon dioxide and hydrogen into CO and water. Achieving the optimal CO ratio is </w:t>
      </w:r>
      <w:r w:rsidR="003E0C0E" w:rsidRPr="00670221">
        <w:rPr>
          <w:lang w:val="en-US"/>
        </w:rPr>
        <w:lastRenderedPageBreak/>
        <w:t>essential for downstream synthesis and is managed by controlling temperature, pressure, and feedstock composition. Additionally, selectively removing products like water or CO from the reaction mixture can shift the equilibrium, driving the reaction toward the desired ratio</w:t>
      </w:r>
      <w:r w:rsidR="00441821" w:rsidRPr="00670221">
        <w:rPr>
          <w:lang w:val="en-US"/>
        </w:rPr>
        <w:t xml:space="preserve"> (</w:t>
      </w:r>
      <w:r w:rsidR="00187AD6" w:rsidRPr="00670221">
        <w:rPr>
          <w:lang w:val="en-US"/>
        </w:rPr>
        <w:t xml:space="preserve">Grahn et al., 2022; </w:t>
      </w:r>
      <w:r w:rsidR="00441821" w:rsidRPr="00670221">
        <w:rPr>
          <w:lang w:val="en-US"/>
        </w:rPr>
        <w:t>Peacock et al., 2024)</w:t>
      </w:r>
      <w:r w:rsidR="003E0C0E" w:rsidRPr="00670221">
        <w:rPr>
          <w:lang w:val="en-US"/>
        </w:rPr>
        <w:t xml:space="preserve">. This method allows for precise control over syngas composition, enhancing the efficiency of subsequent chemical synthesis processes. This process is endothermic </w:t>
      </w:r>
      <w:r w:rsidR="00441821" w:rsidRPr="00670221">
        <w:rPr>
          <w:lang w:val="en-US"/>
        </w:rPr>
        <w:t>where heat supply is integrated with the highly exothermic FT synthesis (</w:t>
      </w:r>
      <w:proofErr w:type="spellStart"/>
      <w:r w:rsidR="00441821" w:rsidRPr="00670221">
        <w:rPr>
          <w:lang w:val="en-US"/>
        </w:rPr>
        <w:t>Ballal</w:t>
      </w:r>
      <w:proofErr w:type="spellEnd"/>
      <w:r w:rsidR="00441821" w:rsidRPr="00670221">
        <w:rPr>
          <w:lang w:val="en-US"/>
        </w:rPr>
        <w:t xml:space="preserve"> et al., 2023; Rojas-</w:t>
      </w:r>
      <w:proofErr w:type="spellStart"/>
      <w:r w:rsidR="00441821" w:rsidRPr="00670221">
        <w:rPr>
          <w:lang w:val="en-US"/>
        </w:rPr>
        <w:t>Michaga</w:t>
      </w:r>
      <w:proofErr w:type="spellEnd"/>
      <w:r w:rsidR="00441821" w:rsidRPr="00670221">
        <w:rPr>
          <w:lang w:val="en-US"/>
        </w:rPr>
        <w:t xml:space="preserve"> et al., 2023; Sherwin, 2021).</w:t>
      </w:r>
      <w:r w:rsidR="003E0C0E" w:rsidRPr="00670221">
        <w:rPr>
          <w:lang w:val="en-US"/>
        </w:rPr>
        <w:t xml:space="preserve"> </w:t>
      </w:r>
    </w:p>
    <w:p w14:paraId="142A854A" w14:textId="24B91753" w:rsidR="00504C92" w:rsidRPr="00670221" w:rsidRDefault="00504C92" w:rsidP="00504C92">
      <w:pPr>
        <w:pStyle w:val="Heading4"/>
        <w:rPr>
          <w:lang w:val="en-US"/>
        </w:rPr>
      </w:pPr>
      <w:r w:rsidRPr="00670221">
        <w:rPr>
          <w:lang w:val="en-US"/>
        </w:rPr>
        <w:t>Fischer-</w:t>
      </w:r>
      <w:proofErr w:type="spellStart"/>
      <w:r w:rsidRPr="00670221">
        <w:rPr>
          <w:lang w:val="en-US"/>
        </w:rPr>
        <w:t>Tropsch</w:t>
      </w:r>
      <w:proofErr w:type="spellEnd"/>
      <w:r w:rsidRPr="00670221">
        <w:rPr>
          <w:lang w:val="en-US"/>
        </w:rPr>
        <w:t xml:space="preserve"> Synthesis</w:t>
      </w:r>
    </w:p>
    <w:p w14:paraId="4F4AF855" w14:textId="05A25CC4" w:rsidR="00187AD6" w:rsidRPr="00670221" w:rsidRDefault="00187AD6" w:rsidP="00504C92">
      <w:pPr>
        <w:rPr>
          <w:lang w:val="en-US"/>
        </w:rPr>
      </w:pPr>
      <w:r w:rsidRPr="00670221">
        <w:rPr>
          <w:lang w:val="en-US"/>
        </w:rPr>
        <w:t>Fischer-</w:t>
      </w:r>
      <w:proofErr w:type="spellStart"/>
      <w:r w:rsidRPr="00670221">
        <w:rPr>
          <w:lang w:val="en-US"/>
        </w:rPr>
        <w:t>Tropsch</w:t>
      </w:r>
      <w:proofErr w:type="spellEnd"/>
      <w:r w:rsidRPr="00670221">
        <w:rPr>
          <w:lang w:val="en-US"/>
        </w:rPr>
        <w:t xml:space="preserve"> synthesis is a chemical process that converts syngas into liquid hydrocarbons</w:t>
      </w:r>
      <w:r w:rsidR="00794637" w:rsidRPr="00670221">
        <w:rPr>
          <w:lang w:val="en-US"/>
        </w:rPr>
        <w:t xml:space="preserve"> through a </w:t>
      </w:r>
      <w:proofErr w:type="spellStart"/>
      <w:r w:rsidR="00794637" w:rsidRPr="00670221">
        <w:rPr>
          <w:lang w:val="en-US"/>
        </w:rPr>
        <w:t>polymerisation</w:t>
      </w:r>
      <w:proofErr w:type="spellEnd"/>
      <w:r w:rsidR="00794637" w:rsidRPr="00670221">
        <w:rPr>
          <w:lang w:val="en-US"/>
        </w:rPr>
        <w:t xml:space="preserve"> reaction (</w:t>
      </w:r>
      <w:proofErr w:type="spellStart"/>
      <w:r w:rsidR="00794637" w:rsidRPr="00670221">
        <w:rPr>
          <w:lang w:val="en-US"/>
        </w:rPr>
        <w:t>Ordóñez</w:t>
      </w:r>
      <w:proofErr w:type="spellEnd"/>
      <w:r w:rsidR="00794637" w:rsidRPr="00670221">
        <w:rPr>
          <w:lang w:val="en-US"/>
        </w:rPr>
        <w:t xml:space="preserve"> et al., 2022).</w:t>
      </w:r>
      <w:r w:rsidRPr="00670221">
        <w:rPr>
          <w:lang w:val="en-US"/>
        </w:rPr>
        <w:t xml:space="preserve"> The general reaction is:</w:t>
      </w:r>
    </w:p>
    <w:p w14:paraId="4691AFBD" w14:textId="572A8F52" w:rsidR="00187AD6" w:rsidRPr="00670221" w:rsidRDefault="00C925D5" w:rsidP="00187AD6">
      <w:pPr>
        <w:rPr>
          <w:lang w:val="en-US"/>
        </w:rPr>
      </w:pPr>
      <m:oMathPara>
        <m:oMath>
          <m:d>
            <m:dPr>
              <m:ctrlPr>
                <w:rPr>
                  <w:rFonts w:ascii="Cambria Math" w:hAnsi="Cambria Math"/>
                  <w:i/>
                  <w:lang w:val="en-US"/>
                </w:rPr>
              </m:ctrlPr>
            </m:dPr>
            <m:e>
              <m:r>
                <w:rPr>
                  <w:rFonts w:ascii="Cambria Math" w:hAnsi="Cambria Math"/>
                  <w:lang w:val="en-US"/>
                </w:rPr>
                <m:t>2n+1</m:t>
              </m:r>
            </m:e>
          </m:d>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+nCO→</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2n+2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nH</m:t>
              </m:r>
            </m:e>
            <m:sub>
              <m:r>
                <w:rPr>
                  <w:rFonts w:ascii="Cambria Math" w:hAnsi="Cambria Math"/>
                  <w:lang w:val="en-US"/>
                </w:rPr>
                <m:t>2</m:t>
              </m:r>
            </m:sub>
          </m:sSub>
          <m:r>
            <w:rPr>
              <w:rFonts w:ascii="Cambria Math" w:hAnsi="Cambria Math"/>
              <w:lang w:val="en-US"/>
            </w:rPr>
            <m:t>O</m:t>
          </m:r>
        </m:oMath>
      </m:oMathPara>
    </w:p>
    <w:p w14:paraId="634213CA" w14:textId="77777777" w:rsidR="00187AD6" w:rsidRPr="00670221" w:rsidRDefault="00187AD6" w:rsidP="00504C92">
      <w:pPr>
        <w:rPr>
          <w:lang w:val="en-US"/>
        </w:rPr>
      </w:pPr>
    </w:p>
    <w:p w14:paraId="3E482D57" w14:textId="1FC4E34C" w:rsidR="00504C92" w:rsidRPr="00670221" w:rsidRDefault="00187AD6" w:rsidP="00504C92">
      <w:pPr>
        <w:rPr>
          <w:lang w:val="en-US"/>
        </w:rPr>
      </w:pPr>
      <w:r w:rsidRPr="00670221">
        <w:rPr>
          <w:lang w:val="en-US"/>
        </w:rPr>
        <w:t xml:space="preserve">Developed in the 1920s by German chemists Franz Fischer and Hans </w:t>
      </w:r>
      <w:proofErr w:type="spellStart"/>
      <w:r w:rsidRPr="00670221">
        <w:rPr>
          <w:lang w:val="en-US"/>
        </w:rPr>
        <w:t>Tropsch</w:t>
      </w:r>
      <w:proofErr w:type="spellEnd"/>
      <w:r w:rsidRPr="00670221">
        <w:rPr>
          <w:lang w:val="en-US"/>
        </w:rPr>
        <w:t xml:space="preserve">, this well-established technology was initially used to produce synthetic fuels from coal (Sherwin, 2021; </w:t>
      </w:r>
      <w:proofErr w:type="spellStart"/>
      <w:r w:rsidRPr="00670221">
        <w:rPr>
          <w:lang w:val="en-US"/>
        </w:rPr>
        <w:t>Tremel</w:t>
      </w:r>
      <w:proofErr w:type="spellEnd"/>
      <w:r w:rsidRPr="00670221">
        <w:rPr>
          <w:lang w:val="en-US"/>
        </w:rPr>
        <w:t xml:space="preserve">, 2018). Today, FT synthesis is being adapted to renewable sources, using syngas derived from concentrated solar power, biomass, or </w:t>
      </w:r>
      <w:r w:rsidR="005D7962" w:rsidRPr="00670221">
        <w:rPr>
          <w:lang w:val="en-US"/>
        </w:rPr>
        <w:t xml:space="preserve">CO₂ </w:t>
      </w:r>
      <w:r w:rsidRPr="00670221">
        <w:rPr>
          <w:lang w:val="en-US"/>
        </w:rPr>
        <w:t xml:space="preserve">and green hydrogen to create carbon-neutral fuels. </w:t>
      </w:r>
      <w:r w:rsidR="00794637" w:rsidRPr="00670221">
        <w:rPr>
          <w:lang w:val="en-US"/>
        </w:rPr>
        <w:t>The process described by the reac</w:t>
      </w:r>
      <w:r w:rsidR="005E2058" w:rsidRPr="00670221">
        <w:rPr>
          <w:lang w:val="en-US"/>
        </w:rPr>
        <w:t xml:space="preserve">tion </w:t>
      </w:r>
      <w:r w:rsidR="00794637" w:rsidRPr="00670221">
        <w:rPr>
          <w:lang w:val="en-US"/>
        </w:rPr>
        <w:t>produces long-chain hydrocarbons, including solid waxes, which are then cracked and isomerized to produce liquid drop-in fuels</w:t>
      </w:r>
      <w:r w:rsidR="005E2058" w:rsidRPr="00670221">
        <w:rPr>
          <w:lang w:val="en-US"/>
        </w:rPr>
        <w:t xml:space="preserve"> (Dietrich et al., 2024). </w:t>
      </w:r>
      <w:r w:rsidR="00794637" w:rsidRPr="00670221">
        <w:rPr>
          <w:lang w:val="en-US"/>
        </w:rPr>
        <w:t xml:space="preserve">The kerosene produced has properties </w:t>
      </w:r>
      <w:proofErr w:type="gramStart"/>
      <w:r w:rsidR="00794637" w:rsidRPr="00670221">
        <w:rPr>
          <w:lang w:val="en-US"/>
        </w:rPr>
        <w:t>similar to</w:t>
      </w:r>
      <w:proofErr w:type="gramEnd"/>
      <w:r w:rsidR="00794637" w:rsidRPr="00670221">
        <w:rPr>
          <w:lang w:val="en-US"/>
        </w:rPr>
        <w:t xml:space="preserve"> petroleum-based jet fuel</w:t>
      </w:r>
      <w:r w:rsidR="005E2058" w:rsidRPr="00670221">
        <w:rPr>
          <w:lang w:val="en-US"/>
        </w:rPr>
        <w:t xml:space="preserve">. </w:t>
      </w:r>
      <w:r w:rsidRPr="00670221">
        <w:rPr>
          <w:lang w:val="en-US"/>
        </w:rPr>
        <w:t>The process is highly exothermic, which is repurposed for other energy needs</w:t>
      </w:r>
      <w:r w:rsidR="00794637" w:rsidRPr="00670221">
        <w:rPr>
          <w:lang w:val="en-US"/>
        </w:rPr>
        <w:t xml:space="preserve"> like high temperature electrolysis, DAC or RWGS,</w:t>
      </w:r>
      <w:r w:rsidRPr="00670221">
        <w:rPr>
          <w:lang w:val="en-US"/>
        </w:rPr>
        <w:t xml:space="preserve"> enhancing overall efficiency</w:t>
      </w:r>
      <w:r w:rsidR="005E2058" w:rsidRPr="00670221">
        <w:rPr>
          <w:lang w:val="en-US"/>
        </w:rPr>
        <w:t xml:space="preserve"> (Herz et al., 2018; Seymour et al., 2023).</w:t>
      </w:r>
    </w:p>
    <w:p w14:paraId="104C39DF" w14:textId="06031358" w:rsidR="00504C92" w:rsidRPr="00670221" w:rsidRDefault="00504C92" w:rsidP="00504C92">
      <w:pPr>
        <w:pStyle w:val="Heading4"/>
        <w:rPr>
          <w:lang w:val="en-US"/>
        </w:rPr>
      </w:pPr>
      <w:r w:rsidRPr="00670221">
        <w:rPr>
          <w:lang w:val="en-US"/>
        </w:rPr>
        <w:t>Haber-Bosch Synthesis</w:t>
      </w:r>
    </w:p>
    <w:p w14:paraId="6A4892E4" w14:textId="4BB9BD82" w:rsidR="005A6E00" w:rsidRPr="00670221" w:rsidRDefault="005A79D3" w:rsidP="00641854">
      <w:pPr>
        <w:rPr>
          <w:lang w:val="en-US"/>
        </w:rPr>
      </w:pPr>
      <w:r w:rsidRPr="00670221">
        <w:rPr>
          <w:lang w:val="en-US"/>
        </w:rPr>
        <w:t>The Haber-Bosch process synthesizes ammonia (NH</w:t>
      </w:r>
      <w:r w:rsidR="00055344" w:rsidRPr="00670221">
        <w:rPr>
          <w:vertAlign w:val="subscript"/>
          <w:lang w:val="en-US"/>
        </w:rPr>
        <w:t>3</w:t>
      </w:r>
      <w:r w:rsidRPr="00670221">
        <w:rPr>
          <w:lang w:val="en-US"/>
        </w:rPr>
        <w:t>) by reacting nitrogen (N</w:t>
      </w:r>
      <w:r w:rsidR="00055344" w:rsidRPr="00670221">
        <w:rPr>
          <w:vertAlign w:val="subscript"/>
          <w:lang w:val="en-US"/>
        </w:rPr>
        <w:t>2</w:t>
      </w:r>
      <w:r w:rsidRPr="00670221">
        <w:rPr>
          <w:lang w:val="en-US"/>
        </w:rPr>
        <w:t>) captured from the atmosphere with hydrogen (H</w:t>
      </w:r>
      <w:r w:rsidR="00055344" w:rsidRPr="00670221">
        <w:rPr>
          <w:vertAlign w:val="subscript"/>
          <w:lang w:val="en-US"/>
        </w:rPr>
        <w:t>2</w:t>
      </w:r>
      <w:r w:rsidRPr="00670221">
        <w:rPr>
          <w:lang w:val="en-US"/>
        </w:rPr>
        <w:t xml:space="preserve">) under high pressure and temperature, using a catalyst. Like other syntheses, this process is exothermic and requires </w:t>
      </w:r>
      <w:proofErr w:type="spellStart"/>
      <w:r w:rsidRPr="00670221">
        <w:rPr>
          <w:lang w:val="en-US"/>
        </w:rPr>
        <w:t>requires</w:t>
      </w:r>
      <w:proofErr w:type="spellEnd"/>
      <w:r w:rsidRPr="00670221">
        <w:rPr>
          <w:lang w:val="en-US"/>
        </w:rPr>
        <w:t xml:space="preserve"> stable, high full load hours of renewable electricity. While the technology is mature, future innovations could enable dynamic operation, potentially reducing costs by using hydrogen from intermittent renewable sources without the need for expensive storage (Martin et al., 2023; Grahn et al., 2022).</w:t>
      </w:r>
    </w:p>
    <w:p w14:paraId="72E6C34D" w14:textId="77777777" w:rsidR="00D20BD8" w:rsidRPr="00670221" w:rsidRDefault="00D20BD8" w:rsidP="00641854">
      <w:pPr>
        <w:rPr>
          <w:lang w:val="en-US"/>
        </w:rPr>
      </w:pPr>
    </w:p>
    <w:p w14:paraId="069801B2" w14:textId="1FEA28AB" w:rsidR="00206616" w:rsidRPr="00670221" w:rsidRDefault="005970A9" w:rsidP="005970A9">
      <w:pPr>
        <w:pStyle w:val="Heading2"/>
      </w:pPr>
      <w:bookmarkStart w:id="51" w:name="_Toc184403433"/>
      <w:r w:rsidRPr="00670221">
        <w:t>Actors</w:t>
      </w:r>
      <w:bookmarkEnd w:id="51"/>
    </w:p>
    <w:p w14:paraId="16E20410" w14:textId="2FA80350" w:rsidR="006C0E20" w:rsidRPr="00670221" w:rsidRDefault="00E25C4A" w:rsidP="006C0E20">
      <w:pPr>
        <w:rPr>
          <w:lang w:val="en-US"/>
        </w:rPr>
      </w:pPr>
      <w:r w:rsidRPr="00670221">
        <w:rPr>
          <w:lang w:val="en-US"/>
        </w:rPr>
        <w:t xml:space="preserve">Figure </w:t>
      </w:r>
      <w:r w:rsidR="009576A9" w:rsidRPr="00670221">
        <w:rPr>
          <w:lang w:val="en-US"/>
        </w:rPr>
        <w:t>3</w:t>
      </w:r>
      <w:r w:rsidRPr="00670221">
        <w:rPr>
          <w:lang w:val="en-US"/>
        </w:rPr>
        <w:t xml:space="preserve">.3 </w:t>
      </w:r>
      <w:r w:rsidR="006C0E20" w:rsidRPr="00670221">
        <w:rPr>
          <w:lang w:val="en-US"/>
        </w:rPr>
        <w:t xml:space="preserve">provides a high-level overview of the key actors involved in the SAF value chain, subdivided in the four actor groups as introduced by </w:t>
      </w:r>
      <w:proofErr w:type="spellStart"/>
      <w:r w:rsidR="006C0E20" w:rsidRPr="00670221">
        <w:rPr>
          <w:lang w:val="en-US"/>
        </w:rPr>
        <w:t>Hekkert</w:t>
      </w:r>
      <w:proofErr w:type="spellEnd"/>
      <w:r w:rsidR="006C0E20" w:rsidRPr="00670221">
        <w:rPr>
          <w:lang w:val="en-US"/>
        </w:rPr>
        <w:t xml:space="preserve"> et al. (2011). These four types of actors will be discussed in detail below.</w:t>
      </w:r>
    </w:p>
    <w:p w14:paraId="5E8C96CA" w14:textId="6D4A77AE" w:rsidR="00E25C4A" w:rsidRPr="00670221" w:rsidRDefault="00DF66E8" w:rsidP="006C0E20">
      <w:pPr>
        <w:jc w:val="center"/>
        <w:rPr>
          <w:lang w:val="en-US"/>
        </w:rPr>
      </w:pPr>
      <w:r w:rsidRPr="00670221">
        <w:rPr>
          <w:noProof/>
          <w:lang w:val="en-US"/>
        </w:rPr>
        <w:lastRenderedPageBreak/>
        <w:drawing>
          <wp:inline distT="0" distB="0" distL="0" distR="0" wp14:anchorId="4A87D649" wp14:editId="09BA767C">
            <wp:extent cx="5171213" cy="3670300"/>
            <wp:effectExtent l="0" t="0" r="0" b="0"/>
            <wp:docPr id="547599901"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99901" name="Picture 1" descr="A diagram of a company's company&#10;&#10;Description automatically generated"/>
                    <pic:cNvPicPr/>
                  </pic:nvPicPr>
                  <pic:blipFill>
                    <a:blip r:embed="rId31"/>
                    <a:stretch>
                      <a:fillRect/>
                    </a:stretch>
                  </pic:blipFill>
                  <pic:spPr>
                    <a:xfrm>
                      <a:off x="0" y="0"/>
                      <a:ext cx="5204011" cy="3693578"/>
                    </a:xfrm>
                    <a:prstGeom prst="rect">
                      <a:avLst/>
                    </a:prstGeom>
                  </pic:spPr>
                </pic:pic>
              </a:graphicData>
            </a:graphic>
          </wp:inline>
        </w:drawing>
      </w:r>
      <w:r w:rsidRPr="00670221">
        <w:rPr>
          <w:lang w:val="en-US"/>
        </w:rPr>
        <w:t xml:space="preserve"> </w:t>
      </w:r>
    </w:p>
    <w:p w14:paraId="55B01118" w14:textId="20285FF7" w:rsidR="00E25C4A" w:rsidRPr="00670221" w:rsidRDefault="00E25C4A" w:rsidP="00E25C4A">
      <w:pPr>
        <w:pStyle w:val="Caption"/>
        <w:rPr>
          <w:lang w:val="en-US"/>
        </w:rPr>
      </w:pPr>
      <w:bookmarkStart w:id="52" w:name="_Toc184403549"/>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3</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3</w:t>
      </w:r>
      <w:r w:rsidR="002A3EA2" w:rsidRPr="00670221">
        <w:rPr>
          <w:lang w:val="en-US"/>
        </w:rPr>
        <w:fldChar w:fldCharType="end"/>
      </w:r>
      <w:r w:rsidRPr="00670221">
        <w:rPr>
          <w:lang w:val="en-US"/>
        </w:rPr>
        <w:t>: overview of the SAF TIS actors</w:t>
      </w:r>
      <w:bookmarkEnd w:id="52"/>
    </w:p>
    <w:p w14:paraId="09761CBB" w14:textId="794B5387" w:rsidR="00206616" w:rsidRPr="00670221" w:rsidRDefault="00206616" w:rsidP="00206616">
      <w:pPr>
        <w:pStyle w:val="Heading3"/>
      </w:pPr>
      <w:bookmarkStart w:id="53" w:name="_Toc184403434"/>
      <w:r w:rsidRPr="00670221">
        <w:t xml:space="preserve">Knowledge </w:t>
      </w:r>
      <w:r w:rsidR="006C0E20" w:rsidRPr="00670221">
        <w:t>I</w:t>
      </w:r>
      <w:r w:rsidRPr="00670221">
        <w:t xml:space="preserve">nstitutes and </w:t>
      </w:r>
      <w:r w:rsidR="006C0E20" w:rsidRPr="00670221">
        <w:t>E</w:t>
      </w:r>
      <w:r w:rsidRPr="00670221">
        <w:t xml:space="preserve">ducational </w:t>
      </w:r>
      <w:r w:rsidR="006C0E20" w:rsidRPr="00670221">
        <w:t>O</w:t>
      </w:r>
      <w:r w:rsidRPr="00670221">
        <w:t>rganizations</w:t>
      </w:r>
      <w:bookmarkEnd w:id="53"/>
    </w:p>
    <w:p w14:paraId="06005EB6" w14:textId="1A0B4B1F" w:rsidR="00E25D6E" w:rsidRPr="00670221" w:rsidRDefault="00E25D6E" w:rsidP="00882837">
      <w:pPr>
        <w:rPr>
          <w:lang w:val="en-US"/>
        </w:rPr>
      </w:pPr>
      <w:r w:rsidRPr="00670221">
        <w:rPr>
          <w:lang w:val="en-US"/>
        </w:rPr>
        <w:t xml:space="preserve">Knowledge institutes and educational organizations, including universities, research centers, and private entities, play a crucial role in advancing sustainable aviation fuel technologies. They focus on deepening technical understanding, demonstrating sustainability, and showcasing the feasibility of various SAF </w:t>
      </w:r>
      <w:r w:rsidR="001747E9" w:rsidRPr="00670221">
        <w:rPr>
          <w:lang w:val="en-US"/>
        </w:rPr>
        <w:t>technologies</w:t>
      </w:r>
      <w:r w:rsidRPr="00670221">
        <w:rPr>
          <w:lang w:val="en-US"/>
        </w:rPr>
        <w:t xml:space="preserve"> to attract policymakers and investors. These institutions also provide governments with insights that help shape policies and regulatory frameworks. Additionally, experts from these organizations often influence </w:t>
      </w:r>
      <w:r w:rsidR="00036060" w:rsidRPr="00670221">
        <w:rPr>
          <w:lang w:val="en-US"/>
        </w:rPr>
        <w:t>policymaking</w:t>
      </w:r>
      <w:r w:rsidRPr="00670221">
        <w:rPr>
          <w:lang w:val="en-US"/>
        </w:rPr>
        <w:t xml:space="preserve"> by taking on roles within legislative bodies or supportive organizations. By bridging the gap between research and commercial application, they drive the transition toward commercially viable SAF solutions, supporting the broader adoption of sustainable aviation practices.</w:t>
      </w:r>
    </w:p>
    <w:p w14:paraId="6F3A254A" w14:textId="77777777" w:rsidR="00387EB6" w:rsidRPr="00670221" w:rsidRDefault="00387EB6" w:rsidP="00882837">
      <w:pPr>
        <w:rPr>
          <w:lang w:val="en-US"/>
        </w:rPr>
      </w:pPr>
    </w:p>
    <w:p w14:paraId="421D8431" w14:textId="467B3316" w:rsidR="00BF797A" w:rsidRPr="00670221" w:rsidRDefault="00BF797A" w:rsidP="00206616">
      <w:pPr>
        <w:pStyle w:val="Heading3"/>
      </w:pPr>
      <w:bookmarkStart w:id="54" w:name="_Toc184403435"/>
      <w:r w:rsidRPr="00670221">
        <w:t>Industry</w:t>
      </w:r>
      <w:r w:rsidR="006D0F3F" w:rsidRPr="00670221">
        <w:t xml:space="preserve"> &amp; Market Actors</w:t>
      </w:r>
      <w:bookmarkEnd w:id="54"/>
    </w:p>
    <w:p w14:paraId="7DCC66EB" w14:textId="2FBAF645" w:rsidR="00E62043" w:rsidRPr="00670221" w:rsidRDefault="00E656EF" w:rsidP="00E62043">
      <w:pPr>
        <w:rPr>
          <w:lang w:val="en-US"/>
        </w:rPr>
      </w:pPr>
      <w:r w:rsidRPr="00670221">
        <w:rPr>
          <w:lang w:val="en-US"/>
        </w:rPr>
        <w:t>In the context of the Technological Innovation System framework, the industry actors involved in the sustainable aviation fuel sector are categorized into supply-side and demand-side actors, each playing a pivotal role in the development and adoption of these technologies.</w:t>
      </w:r>
      <w:r w:rsidR="006D0F3F" w:rsidRPr="00670221">
        <w:rPr>
          <w:lang w:val="en-US"/>
        </w:rPr>
        <w:t xml:space="preserve"> </w:t>
      </w:r>
    </w:p>
    <w:p w14:paraId="6E22894C" w14:textId="77777777" w:rsidR="00E62043" w:rsidRPr="00670221" w:rsidRDefault="00BF797A" w:rsidP="00E62043">
      <w:pPr>
        <w:pStyle w:val="Heading4"/>
        <w:rPr>
          <w:lang w:val="en-US"/>
        </w:rPr>
      </w:pPr>
      <w:r w:rsidRPr="00670221">
        <w:rPr>
          <w:lang w:val="en-US"/>
        </w:rPr>
        <w:t>Supply</w:t>
      </w:r>
    </w:p>
    <w:p w14:paraId="05B9AD2F" w14:textId="48B959F8" w:rsidR="00E62043" w:rsidRPr="00670221" w:rsidRDefault="006E0E53" w:rsidP="00E62043">
      <w:pPr>
        <w:rPr>
          <w:lang w:val="en-US"/>
        </w:rPr>
      </w:pPr>
      <w:r w:rsidRPr="00670221">
        <w:rPr>
          <w:lang w:val="en-US"/>
        </w:rPr>
        <w:t>Supply-side actors are integral to the development and operationalization of the SAF value chain, as they are responsible for producing and providing the necessary technologies, materials, and infrastructure required for SAF production. This group encompasses a variety of stakeholders, each playing a crucial role in enabling the production and distribution of sustainable aviation fuel.</w:t>
      </w:r>
    </w:p>
    <w:p w14:paraId="3FA37C0C" w14:textId="3FC49D9A" w:rsidR="00E62043" w:rsidRPr="00670221" w:rsidRDefault="006E0E53" w:rsidP="00E62043">
      <w:pPr>
        <w:rPr>
          <w:lang w:val="en-US"/>
        </w:rPr>
      </w:pPr>
      <w:r w:rsidRPr="00670221">
        <w:rPr>
          <w:lang w:val="en-US"/>
        </w:rPr>
        <w:lastRenderedPageBreak/>
        <w:t xml:space="preserve">Technology providers are central to the supply side, as they develop and supply the systems necessary to produce SAF, including </w:t>
      </w:r>
      <w:r w:rsidR="002627C0" w:rsidRPr="00670221">
        <w:rPr>
          <w:lang w:val="en-US"/>
        </w:rPr>
        <w:t>RES energy technologies</w:t>
      </w:r>
      <w:r w:rsidRPr="00670221">
        <w:rPr>
          <w:lang w:val="en-US"/>
        </w:rPr>
        <w:t>, hydrogen production systems, and fuel synthesis processes. These providers are at the forefront of innovation, driving advancements in the efficiency and scalability of SAF technologies.</w:t>
      </w:r>
    </w:p>
    <w:p w14:paraId="4E910348" w14:textId="26302B67" w:rsidR="00E62043" w:rsidRPr="00670221" w:rsidRDefault="006E0E53" w:rsidP="00E62043">
      <w:pPr>
        <w:rPr>
          <w:lang w:val="en-US"/>
        </w:rPr>
      </w:pPr>
      <w:r w:rsidRPr="00670221">
        <w:rPr>
          <w:lang w:val="en-US"/>
        </w:rPr>
        <w:t>Feedstock suppliers are another critical component of the supply side. They supply the raw materials required to synthesize SAF, such as</w:t>
      </w:r>
      <w:r w:rsidR="00196536" w:rsidRPr="00670221">
        <w:rPr>
          <w:lang w:val="en-US"/>
        </w:rPr>
        <w:t xml:space="preserve"> </w:t>
      </w:r>
      <w:r w:rsidR="000F2B11" w:rsidRPr="00670221">
        <w:rPr>
          <w:lang w:val="en-US"/>
        </w:rPr>
        <w:t>water</w:t>
      </w:r>
      <w:r w:rsidR="002627C0" w:rsidRPr="00670221">
        <w:rPr>
          <w:lang w:val="en-US"/>
        </w:rPr>
        <w:t>,</w:t>
      </w:r>
      <w:r w:rsidRPr="00670221">
        <w:rPr>
          <w:lang w:val="en-US"/>
        </w:rPr>
        <w:t xml:space="preserve"> carbon sources, and other necessary inputs. The availability of these feedstocks directly </w:t>
      </w:r>
      <w:r w:rsidR="00196536" w:rsidRPr="00670221">
        <w:rPr>
          <w:lang w:val="en-US"/>
        </w:rPr>
        <w:t>impacts</w:t>
      </w:r>
      <w:r w:rsidRPr="00670221">
        <w:rPr>
          <w:lang w:val="en-US"/>
        </w:rPr>
        <w:t xml:space="preserve"> the feasibility and cost-effectiveness of SAF production.</w:t>
      </w:r>
    </w:p>
    <w:p w14:paraId="345AC2B1" w14:textId="67CC0B7F" w:rsidR="00007079" w:rsidRPr="00670221" w:rsidRDefault="00007079" w:rsidP="00E62043">
      <w:pPr>
        <w:rPr>
          <w:lang w:val="en-US"/>
        </w:rPr>
      </w:pPr>
      <w:r w:rsidRPr="00670221">
        <w:rPr>
          <w:lang w:val="en-US"/>
        </w:rPr>
        <w:t xml:space="preserve">Energy providers play a pivotal role by supplying the renewable energy needed to power </w:t>
      </w:r>
      <w:r w:rsidR="00F01A34" w:rsidRPr="00670221">
        <w:rPr>
          <w:lang w:val="en-US"/>
        </w:rPr>
        <w:t>S</w:t>
      </w:r>
      <w:r w:rsidRPr="00670221">
        <w:rPr>
          <w:lang w:val="en-US"/>
        </w:rPr>
        <w:t>AF production processes. Electricity can be sourced either directly from actors generating renewable energy, such as solar or wind farms, or from the broader electricity network, provided it is renewable. In this case, a Transmission System Operator (TSO) is a key market actor</w:t>
      </w:r>
      <w:r w:rsidR="00DF66E8" w:rsidRPr="00670221">
        <w:rPr>
          <w:lang w:val="en-US"/>
        </w:rPr>
        <w:t xml:space="preserve"> and seen as an energy provider also</w:t>
      </w:r>
      <w:r w:rsidRPr="00670221">
        <w:rPr>
          <w:lang w:val="en-US"/>
        </w:rPr>
        <w:t>, ensuring the delivery of renewable energy to SAF production facilities. The reliance on renewable energy ensures that SAF production aligns with sustainability goals and contributes to reducing carbon emissions in the aviation sector.</w:t>
      </w:r>
      <w:r w:rsidR="00DF66E8" w:rsidRPr="00670221">
        <w:rPr>
          <w:lang w:val="en-US"/>
        </w:rPr>
        <w:t xml:space="preserve"> </w:t>
      </w:r>
    </w:p>
    <w:p w14:paraId="54B444BF" w14:textId="42CA9361" w:rsidR="00196536" w:rsidRPr="00670221" w:rsidRDefault="006E0E53" w:rsidP="00E62043">
      <w:pPr>
        <w:rPr>
          <w:lang w:val="en-US"/>
        </w:rPr>
      </w:pPr>
      <w:r w:rsidRPr="00670221">
        <w:rPr>
          <w:lang w:val="en-US"/>
        </w:rPr>
        <w:t xml:space="preserve">Infrastructure developers are also key actors on the supply side. They are responsible for constructing and maintaining the physical infrastructure necessary for </w:t>
      </w:r>
      <w:r w:rsidR="00D64392" w:rsidRPr="00670221">
        <w:rPr>
          <w:lang w:val="en-US"/>
        </w:rPr>
        <w:t xml:space="preserve">large scale </w:t>
      </w:r>
      <w:r w:rsidRPr="00670221">
        <w:rPr>
          <w:lang w:val="en-US"/>
        </w:rPr>
        <w:t xml:space="preserve">SAF production, including production facilities, storage units, and transportation networks. This infrastructure supports the entire supply chain by enabling the efficient production, storage, and distribution of feedstocks </w:t>
      </w:r>
      <w:r w:rsidR="00196536" w:rsidRPr="00670221">
        <w:rPr>
          <w:lang w:val="en-US"/>
        </w:rPr>
        <w:t xml:space="preserve">intermediaries </w:t>
      </w:r>
      <w:r w:rsidRPr="00670221">
        <w:rPr>
          <w:lang w:val="en-US"/>
        </w:rPr>
        <w:t>and the final SAF product. The availability and quality of this infrastructure are critical to the scalability and economic viability of SAF production, as well as the ability to meet market demand.</w:t>
      </w:r>
    </w:p>
    <w:p w14:paraId="04BBB5EE" w14:textId="17E26F30" w:rsidR="00BF797A" w:rsidRPr="00670221" w:rsidRDefault="00BF797A" w:rsidP="00196536">
      <w:pPr>
        <w:pStyle w:val="Heading4"/>
        <w:rPr>
          <w:lang w:val="en-US"/>
        </w:rPr>
      </w:pPr>
      <w:r w:rsidRPr="00670221">
        <w:rPr>
          <w:lang w:val="en-US"/>
        </w:rPr>
        <w:t>Demand</w:t>
      </w:r>
    </w:p>
    <w:p w14:paraId="57FEF483" w14:textId="4ED08127" w:rsidR="002627C0" w:rsidRPr="00670221" w:rsidRDefault="006D0F3F" w:rsidP="007D4008">
      <w:pPr>
        <w:rPr>
          <w:lang w:val="en-US"/>
        </w:rPr>
      </w:pPr>
      <w:r w:rsidRPr="00670221">
        <w:rPr>
          <w:lang w:val="en-US"/>
        </w:rPr>
        <w:t xml:space="preserve">Demand-side actors within the SAF Technological Innovation System primarily consist of those who purchase and use the final product, with airlines being the main consumers. Rather than buying fuel directly from producers, airlines typically acquire it from fuel distributors and retailers, who act as intermediaries in the supply chain. These distributors—including large oil and gas companies, </w:t>
      </w:r>
      <w:r w:rsidR="002627C0" w:rsidRPr="00670221">
        <w:rPr>
          <w:lang w:val="en-US"/>
        </w:rPr>
        <w:t xml:space="preserve">airports, </w:t>
      </w:r>
      <w:r w:rsidRPr="00670221">
        <w:rPr>
          <w:lang w:val="en-US"/>
        </w:rPr>
        <w:t>airport operators, commodity traders, and specialized fuel distribution firms—serve as critical market actors. They manage logistics, storage, and delivery, ensuring timely and reliable fuel availability while balancing the market to meet industry demand.</w:t>
      </w:r>
    </w:p>
    <w:p w14:paraId="63727ACB" w14:textId="71A31351" w:rsidR="007D4008" w:rsidRPr="00670221" w:rsidRDefault="004A1864" w:rsidP="007D4008">
      <w:pPr>
        <w:rPr>
          <w:lang w:val="en-US"/>
        </w:rPr>
      </w:pPr>
      <w:r w:rsidRPr="00670221">
        <w:rPr>
          <w:lang w:val="en-US"/>
        </w:rPr>
        <w:t xml:space="preserve">In addition to airlines and distributors, passengers also influence demand within the SAF </w:t>
      </w:r>
      <w:r w:rsidR="00CA504B" w:rsidRPr="00670221">
        <w:rPr>
          <w:lang w:val="en-US"/>
        </w:rPr>
        <w:t>ecosystem</w:t>
      </w:r>
      <w:r w:rsidRPr="00670221">
        <w:rPr>
          <w:lang w:val="en-US"/>
        </w:rPr>
        <w:t xml:space="preserve">. Their travel behavior and opinions on sustainable aviation significantly impact airlines' decisions to adopt more sustainable practices, including the use of SAF. As public awareness and concern about environmental issues grow, passenger preferences for greener travel options can drive airlines to increase their demand for SAF, </w:t>
      </w:r>
      <w:r w:rsidR="00864760" w:rsidRPr="00670221">
        <w:rPr>
          <w:lang w:val="en-US"/>
        </w:rPr>
        <w:t>potentially</w:t>
      </w:r>
      <w:r w:rsidRPr="00670221">
        <w:rPr>
          <w:lang w:val="en-US"/>
        </w:rPr>
        <w:t xml:space="preserve"> influencing the overall market dynamics in favor of sustainable aviation fuels.</w:t>
      </w:r>
    </w:p>
    <w:p w14:paraId="0D83572D" w14:textId="77777777" w:rsidR="00387EB6" w:rsidRPr="00670221" w:rsidRDefault="00387EB6" w:rsidP="007D4008">
      <w:pPr>
        <w:rPr>
          <w:lang w:val="en-US"/>
        </w:rPr>
      </w:pPr>
    </w:p>
    <w:p w14:paraId="3550C03E" w14:textId="67FBC161" w:rsidR="00206616" w:rsidRPr="00670221" w:rsidRDefault="00206616" w:rsidP="00206616">
      <w:pPr>
        <w:pStyle w:val="Heading3"/>
      </w:pPr>
      <w:bookmarkStart w:id="55" w:name="_Toc184403436"/>
      <w:r w:rsidRPr="00670221">
        <w:t xml:space="preserve">Government </w:t>
      </w:r>
      <w:r w:rsidR="006C0E20" w:rsidRPr="00670221">
        <w:t>B</w:t>
      </w:r>
      <w:r w:rsidRPr="00670221">
        <w:t xml:space="preserve">odies and </w:t>
      </w:r>
      <w:r w:rsidR="006C0E20" w:rsidRPr="00670221">
        <w:t>S</w:t>
      </w:r>
      <w:r w:rsidRPr="00670221">
        <w:t xml:space="preserve">upportive </w:t>
      </w:r>
      <w:r w:rsidR="006C0E20" w:rsidRPr="00670221">
        <w:t>O</w:t>
      </w:r>
      <w:r w:rsidRPr="00670221">
        <w:t>rganizations</w:t>
      </w:r>
      <w:bookmarkEnd w:id="55"/>
    </w:p>
    <w:p w14:paraId="16EC9E81" w14:textId="035A1344" w:rsidR="00FD6845" w:rsidRPr="00670221" w:rsidRDefault="00FD6845" w:rsidP="00CD27C4">
      <w:pPr>
        <w:rPr>
          <w:lang w:val="en-US"/>
        </w:rPr>
      </w:pPr>
      <w:r w:rsidRPr="00670221">
        <w:rPr>
          <w:lang w:val="en-US"/>
        </w:rPr>
        <w:t xml:space="preserve">Government bodies and supportive organizations play a crucial role in the development and regulation of synthetic sustainable aviation fuel technologies. These actors create the necessary frameworks, provide funding, and set industry standards to drive innovation and ensure the adoption of sustainable aviation fuels. Their influence spans international, </w:t>
      </w:r>
      <w:r w:rsidRPr="00670221">
        <w:rPr>
          <w:lang w:val="en-US"/>
        </w:rPr>
        <w:lastRenderedPageBreak/>
        <w:t>European, and national levels, ensuring that the SAF industry operates within a structured and coherent regulatory environment.</w:t>
      </w:r>
    </w:p>
    <w:p w14:paraId="3D361817" w14:textId="74FCDDEF" w:rsidR="009F6C4D" w:rsidRPr="00670221" w:rsidRDefault="00FD6845" w:rsidP="00CD27C4">
      <w:pPr>
        <w:rPr>
          <w:lang w:val="en-US"/>
        </w:rPr>
      </w:pPr>
      <w:r w:rsidRPr="00670221">
        <w:rPr>
          <w:lang w:val="en-US"/>
        </w:rPr>
        <w:t>At the international level, the International Civil Aviation Organization (ICAO)</w:t>
      </w:r>
      <w:r w:rsidR="00B836E8" w:rsidRPr="00670221">
        <w:rPr>
          <w:lang w:val="en-US"/>
        </w:rPr>
        <w:t xml:space="preserve"> is responsible for setting global aviation standards. </w:t>
      </w:r>
      <w:r w:rsidR="00CB1B8F" w:rsidRPr="00670221">
        <w:rPr>
          <w:lang w:val="en-US"/>
        </w:rPr>
        <w:t>While ICAO has a regulatory function, it is classified as a supportive organization rather than a governing body because it lacks direct enforcement authority</w:t>
      </w:r>
      <w:r w:rsidR="00B836E8" w:rsidRPr="00670221">
        <w:rPr>
          <w:lang w:val="en-US"/>
        </w:rPr>
        <w:t xml:space="preserve"> being a UN agency</w:t>
      </w:r>
      <w:r w:rsidR="00CB1B8F" w:rsidRPr="00670221">
        <w:rPr>
          <w:lang w:val="en-US"/>
        </w:rPr>
        <w:t xml:space="preserve">. </w:t>
      </w:r>
      <w:r w:rsidR="009F6C4D" w:rsidRPr="00670221">
        <w:rPr>
          <w:lang w:val="en-US"/>
        </w:rPr>
        <w:t>Since the UN facilitates international cooperation rather than governance, ICAO relies on member states to adopt and enforce its standards. In this way, member states act as their own governing bodies in implementing ICAO’s regulations.</w:t>
      </w:r>
    </w:p>
    <w:p w14:paraId="2C5BDF0A" w14:textId="615B6D77" w:rsidR="00703B09" w:rsidRPr="00670221" w:rsidRDefault="00312D81" w:rsidP="00CD27C4">
      <w:pPr>
        <w:rPr>
          <w:lang w:val="en-US"/>
        </w:rPr>
      </w:pPr>
      <w:r w:rsidRPr="00670221">
        <w:rPr>
          <w:lang w:val="en-US"/>
        </w:rPr>
        <w:t>In contrast, the International Air Transport Association (IATA) serves as a global trade association representing airlines. IATA’s primary role is to advocate for the commercial interests of the aviation industry, promoting operational efficiency, safety, and sustainability among its members. Unlike ICAO, IATA does not create regulatory frameworks but influences industry practices by developing guidelines and recommendations for best practices within the aviation industry. IATA’s focus is on ensuring that airlines can meet sustainability targets within a commercially viable framework, including through the widespread adoption of market-based measures for reducing carbon emissions.</w:t>
      </w:r>
    </w:p>
    <w:p w14:paraId="739D5854" w14:textId="27894F0C" w:rsidR="00142BE4" w:rsidRPr="00670221" w:rsidRDefault="00742D7A" w:rsidP="00142BE4">
      <w:pPr>
        <w:rPr>
          <w:lang w:val="en-US"/>
        </w:rPr>
      </w:pPr>
      <w:r w:rsidRPr="00670221">
        <w:rPr>
          <w:lang w:val="en-US"/>
        </w:rPr>
        <w:t>ASTM International (formerly known as the American Society for Testing and Materials) plays a central role in setting technical standards for SAF which outline the criteria that must be met to be approved for aviation use. These standards are developed through collaboration with global experts and are internationally recognized. ASTM standards are used by regulatory bodies such as ICAO and EASA (European Union Aviation Safety Agency) to ensure that SAF meets the required technical and safety benchmarks. EASA, while a European regulatory body, recognizes ASTM standards for the certification of fuels used within Europe. EASA enforces these standards within the EU by certifying aviation fuels that meet ASTM’s technical criteria, ensuring that they are safe for use in European airspace.</w:t>
      </w:r>
    </w:p>
    <w:p w14:paraId="76DB0415" w14:textId="483A5361" w:rsidR="00142BE4" w:rsidRPr="00670221" w:rsidRDefault="00142BE4" w:rsidP="00142BE4">
      <w:pPr>
        <w:rPr>
          <w:lang w:val="en-US"/>
        </w:rPr>
      </w:pPr>
      <w:r w:rsidRPr="00670221">
        <w:rPr>
          <w:lang w:val="en-US"/>
        </w:rPr>
        <w:t>The European Council, one of the key decision-making bodies in the European Union, plays a significant role in shaping the overall direction and priorities of the EU, including its environmental and energy policies. Comprising the heads of state or government of EU member states, the European Council sets long-term policy objectives, which guide the development of specific legislation by other EU institutions, such as the European Commission. This includes directives and regulations aimed at reducing carbon emissions and promoting sustainable fuel production within the aviation industry. The European Council’s policy direction influences the work of agencies like EASA, which are responsible for implementing and enforcing the technical and safety regulations for SAF across EU member states.</w:t>
      </w:r>
    </w:p>
    <w:p w14:paraId="564CC84C" w14:textId="009D7F24" w:rsidR="00142BE4" w:rsidRPr="00670221" w:rsidRDefault="00142BE4" w:rsidP="00142BE4">
      <w:pPr>
        <w:rPr>
          <w:lang w:val="en-US"/>
        </w:rPr>
      </w:pPr>
      <w:r w:rsidRPr="00670221">
        <w:rPr>
          <w:lang w:val="en-US"/>
        </w:rPr>
        <w:t>While ASTM sets the global technical standards for fuel properties and safety, the Roundtable on Sustainable Biomaterials (RSB) focuses on certifying the sustainability of SAF production processes. RSB ensures that production aligns with environmental, social, and economic sustainability criteria. RSB certification is often required by stakeholders to verify that the fuel not only meets ASTM’s technical specifications but also adheres to stringent sustainability guidelines. RSB’s role complements that of ASTM, as it adds a layer of sustainability assurance that goes beyond the technical properties defined by ASTM.</w:t>
      </w:r>
    </w:p>
    <w:p w14:paraId="03CCDA90" w14:textId="63511757" w:rsidR="00F01B6B" w:rsidRPr="00670221" w:rsidRDefault="00F01B6B" w:rsidP="00F01B6B">
      <w:pPr>
        <w:rPr>
          <w:lang w:val="en-US"/>
        </w:rPr>
      </w:pPr>
      <w:r w:rsidRPr="00670221">
        <w:rPr>
          <w:lang w:val="en-US"/>
        </w:rPr>
        <w:t xml:space="preserve">Non-governmental organizations (NGOs) like the RSB and the DAC Coalition play an important role as supportive organizations. While they do not set legal regulations like government bodies, NGOs influence policy and industry standards through advocacy, research, and the </w:t>
      </w:r>
      <w:r w:rsidRPr="00670221">
        <w:rPr>
          <w:lang w:val="en-US"/>
        </w:rPr>
        <w:lastRenderedPageBreak/>
        <w:t>promotion of sustainable practices. NGOs act as watchdogs to ensure that industries, including the aviation sector, adhere to sustainable practices. Examples include organizations supporting carbon capture and utilization initiatives, which contribute to the advancement of sustainable aviation fuel technologies by promoting environmental responsibility and technological innovation.</w:t>
      </w:r>
    </w:p>
    <w:p w14:paraId="1F3287C9" w14:textId="352345D2" w:rsidR="00142BE4" w:rsidRPr="00670221" w:rsidRDefault="00F01B6B" w:rsidP="00F01B6B">
      <w:pPr>
        <w:rPr>
          <w:lang w:val="en-US"/>
        </w:rPr>
      </w:pPr>
      <w:r w:rsidRPr="00670221">
        <w:rPr>
          <w:lang w:val="en-US"/>
        </w:rPr>
        <w:t>More broadly, NGOs such as Greenpeace, the World Wildlife Fund (WWF), and Friends of the Earth also advocate for sustainability and environmental preservation on a global scale. These organizations focus on a range of issues, including climate change, biodiversity conservation, and the promotion of renewable energy, ensuring that industries like aviation move towards greener, more sustainable practices. Their efforts help shape public opinion, influence corporate behavior, and drive the adoption of more sustainable technologies, including SAF.</w:t>
      </w:r>
      <w:r w:rsidR="008359BF" w:rsidRPr="00670221">
        <w:rPr>
          <w:lang w:val="en-US"/>
        </w:rPr>
        <w:t xml:space="preserve"> </w:t>
      </w:r>
    </w:p>
    <w:p w14:paraId="580F4BB5" w14:textId="708FB2C2" w:rsidR="00F01B6B" w:rsidRPr="00670221" w:rsidRDefault="00F01B6B" w:rsidP="00F01B6B">
      <w:pPr>
        <w:rPr>
          <w:lang w:val="en-US"/>
        </w:rPr>
      </w:pPr>
      <w:r w:rsidRPr="00670221">
        <w:rPr>
          <w:lang w:val="en-US"/>
        </w:rPr>
        <w:t>Financial institutions play a crucial supportive role in the development and adoption of</w:t>
      </w:r>
      <w:r w:rsidR="00B379AA" w:rsidRPr="00670221">
        <w:rPr>
          <w:lang w:val="en-US"/>
        </w:rPr>
        <w:t xml:space="preserve"> </w:t>
      </w:r>
      <w:r w:rsidRPr="00670221">
        <w:rPr>
          <w:lang w:val="en-US"/>
        </w:rPr>
        <w:t>sustainable aviation fuel technologies, particularly in financing large-scale production projects. These projects require significant capital investment and are often funded through loans from banks or other financial institutions. However, banks are cautious when providing such loans and typically require that production is pre-sold through off-take agreements to airlines or other buyers</w:t>
      </w:r>
      <w:r w:rsidR="00555AD6" w:rsidRPr="00670221">
        <w:rPr>
          <w:lang w:val="en-US"/>
        </w:rPr>
        <w:t xml:space="preserve"> (</w:t>
      </w:r>
      <w:proofErr w:type="spellStart"/>
      <w:r w:rsidR="00555AD6" w:rsidRPr="00670221">
        <w:rPr>
          <w:lang w:val="en-US"/>
        </w:rPr>
        <w:t>Mut</w:t>
      </w:r>
      <w:r w:rsidR="007E53BF" w:rsidRPr="00670221">
        <w:rPr>
          <w:lang w:val="en-US"/>
        </w:rPr>
        <w:t>r</w:t>
      </w:r>
      <w:r w:rsidR="00555AD6" w:rsidRPr="00670221">
        <w:rPr>
          <w:lang w:val="en-US"/>
        </w:rPr>
        <w:t>elle</w:t>
      </w:r>
      <w:proofErr w:type="spellEnd"/>
      <w:r w:rsidR="00555AD6" w:rsidRPr="00670221">
        <w:rPr>
          <w:lang w:val="en-US"/>
        </w:rPr>
        <w:t>, 2023)</w:t>
      </w:r>
      <w:r w:rsidRPr="00670221">
        <w:rPr>
          <w:lang w:val="en-US"/>
        </w:rPr>
        <w: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01B6B" w:rsidRPr="00670221" w14:paraId="1C24B5BD" w14:textId="77777777" w:rsidTr="00F01B6B">
        <w:tc>
          <w:tcPr>
            <w:tcW w:w="1502" w:type="dxa"/>
          </w:tcPr>
          <w:p w14:paraId="61A4EC90" w14:textId="7437BCF8" w:rsidR="00F01B6B" w:rsidRPr="00670221" w:rsidRDefault="00F01B6B" w:rsidP="00F01B6B">
            <w:pPr>
              <w:jc w:val="center"/>
              <w:rPr>
                <w:b/>
                <w:bCs/>
                <w:sz w:val="20"/>
                <w:szCs w:val="20"/>
                <w:lang w:val="en-US"/>
              </w:rPr>
            </w:pPr>
            <w:r w:rsidRPr="00670221">
              <w:rPr>
                <w:b/>
                <w:bCs/>
                <w:sz w:val="20"/>
                <w:szCs w:val="20"/>
                <w:lang w:val="en-US"/>
              </w:rPr>
              <w:t>Airline/Airline Group</w:t>
            </w:r>
          </w:p>
        </w:tc>
        <w:tc>
          <w:tcPr>
            <w:tcW w:w="1502" w:type="dxa"/>
          </w:tcPr>
          <w:p w14:paraId="0F143E89" w14:textId="195978C5" w:rsidR="00F01B6B" w:rsidRPr="00670221" w:rsidRDefault="00F01B6B" w:rsidP="00F01B6B">
            <w:pPr>
              <w:jc w:val="center"/>
              <w:rPr>
                <w:b/>
                <w:bCs/>
                <w:sz w:val="20"/>
                <w:szCs w:val="20"/>
                <w:lang w:val="en-US"/>
              </w:rPr>
            </w:pPr>
            <w:r w:rsidRPr="00670221">
              <w:rPr>
                <w:b/>
                <w:bCs/>
                <w:sz w:val="20"/>
                <w:szCs w:val="20"/>
                <w:lang w:val="en-US"/>
              </w:rPr>
              <w:t>Business Year</w:t>
            </w:r>
          </w:p>
        </w:tc>
        <w:tc>
          <w:tcPr>
            <w:tcW w:w="1503" w:type="dxa"/>
          </w:tcPr>
          <w:p w14:paraId="16AFC8AB" w14:textId="187AEF04" w:rsidR="00F01B6B" w:rsidRPr="00670221" w:rsidRDefault="00F01B6B" w:rsidP="00F01B6B">
            <w:pPr>
              <w:jc w:val="center"/>
              <w:rPr>
                <w:b/>
                <w:bCs/>
                <w:sz w:val="20"/>
                <w:szCs w:val="20"/>
                <w:lang w:val="en-US"/>
              </w:rPr>
            </w:pPr>
            <w:r w:rsidRPr="00670221">
              <w:rPr>
                <w:b/>
                <w:bCs/>
                <w:sz w:val="20"/>
                <w:szCs w:val="20"/>
                <w:lang w:val="en-US"/>
              </w:rPr>
              <w:t>Total Costs in Millions</w:t>
            </w:r>
          </w:p>
        </w:tc>
        <w:tc>
          <w:tcPr>
            <w:tcW w:w="1503" w:type="dxa"/>
          </w:tcPr>
          <w:p w14:paraId="70B1F2C1" w14:textId="3F3030F0" w:rsidR="00F01B6B" w:rsidRPr="00670221" w:rsidRDefault="00F01B6B" w:rsidP="00F01B6B">
            <w:pPr>
              <w:jc w:val="center"/>
              <w:rPr>
                <w:b/>
                <w:bCs/>
                <w:sz w:val="20"/>
                <w:szCs w:val="20"/>
                <w:lang w:val="en-US"/>
              </w:rPr>
            </w:pPr>
            <w:r w:rsidRPr="00670221">
              <w:rPr>
                <w:b/>
                <w:bCs/>
                <w:sz w:val="20"/>
                <w:szCs w:val="20"/>
                <w:lang w:val="en-US"/>
              </w:rPr>
              <w:t>Fuel Costs in Millions</w:t>
            </w:r>
          </w:p>
        </w:tc>
        <w:tc>
          <w:tcPr>
            <w:tcW w:w="1503" w:type="dxa"/>
          </w:tcPr>
          <w:p w14:paraId="75BABD83" w14:textId="36D241C7" w:rsidR="00F01B6B" w:rsidRPr="00670221" w:rsidRDefault="00F01B6B" w:rsidP="00F01B6B">
            <w:pPr>
              <w:jc w:val="center"/>
              <w:rPr>
                <w:b/>
                <w:bCs/>
                <w:sz w:val="20"/>
                <w:szCs w:val="20"/>
                <w:lang w:val="en-US"/>
              </w:rPr>
            </w:pPr>
            <w:r w:rsidRPr="00670221">
              <w:rPr>
                <w:b/>
                <w:bCs/>
                <w:sz w:val="20"/>
                <w:szCs w:val="20"/>
                <w:lang w:val="en-US"/>
              </w:rPr>
              <w:t>Fuel Cost Share (% of Total Costs)</w:t>
            </w:r>
          </w:p>
        </w:tc>
        <w:tc>
          <w:tcPr>
            <w:tcW w:w="1503" w:type="dxa"/>
          </w:tcPr>
          <w:p w14:paraId="18053DE8" w14:textId="3B3239EC" w:rsidR="00F01B6B" w:rsidRPr="00670221" w:rsidRDefault="00F01B6B" w:rsidP="00F01B6B">
            <w:pPr>
              <w:jc w:val="center"/>
              <w:rPr>
                <w:b/>
                <w:bCs/>
                <w:sz w:val="20"/>
                <w:szCs w:val="20"/>
                <w:lang w:val="en-US"/>
              </w:rPr>
            </w:pPr>
            <w:r w:rsidRPr="00670221">
              <w:rPr>
                <w:b/>
                <w:bCs/>
                <w:sz w:val="20"/>
                <w:szCs w:val="20"/>
                <w:lang w:val="en-US"/>
              </w:rPr>
              <w:t>Operating Profit Margin</w:t>
            </w:r>
          </w:p>
        </w:tc>
      </w:tr>
      <w:tr w:rsidR="00F01B6B" w:rsidRPr="00670221" w14:paraId="02B25DCB" w14:textId="77777777" w:rsidTr="00F01B6B">
        <w:tc>
          <w:tcPr>
            <w:tcW w:w="1502" w:type="dxa"/>
          </w:tcPr>
          <w:p w14:paraId="475CDFF0" w14:textId="10E4E948" w:rsidR="00F01B6B" w:rsidRPr="00670221" w:rsidRDefault="00F01B6B" w:rsidP="00F01B6B">
            <w:pPr>
              <w:jc w:val="center"/>
              <w:rPr>
                <w:sz w:val="20"/>
                <w:szCs w:val="20"/>
                <w:lang w:val="en-US"/>
              </w:rPr>
            </w:pPr>
            <w:r w:rsidRPr="00670221">
              <w:rPr>
                <w:sz w:val="20"/>
                <w:szCs w:val="20"/>
                <w:lang w:val="en-US"/>
              </w:rPr>
              <w:t>Air France KLM</w:t>
            </w:r>
          </w:p>
        </w:tc>
        <w:tc>
          <w:tcPr>
            <w:tcW w:w="1502" w:type="dxa"/>
          </w:tcPr>
          <w:p w14:paraId="5107D094" w14:textId="38D61AC4" w:rsidR="00F01B6B" w:rsidRPr="00670221" w:rsidRDefault="00F01B6B" w:rsidP="00F01B6B">
            <w:pPr>
              <w:jc w:val="center"/>
              <w:rPr>
                <w:sz w:val="20"/>
                <w:szCs w:val="20"/>
                <w:lang w:val="en-US"/>
              </w:rPr>
            </w:pPr>
            <w:r w:rsidRPr="00670221">
              <w:rPr>
                <w:sz w:val="20"/>
                <w:szCs w:val="20"/>
                <w:lang w:val="en-US"/>
              </w:rPr>
              <w:t>2019</w:t>
            </w:r>
          </w:p>
        </w:tc>
        <w:tc>
          <w:tcPr>
            <w:tcW w:w="1503" w:type="dxa"/>
          </w:tcPr>
          <w:p w14:paraId="33D9A82A" w14:textId="0088EBE2" w:rsidR="00F01B6B" w:rsidRPr="00670221" w:rsidRDefault="00F01B6B" w:rsidP="00F01B6B">
            <w:pPr>
              <w:jc w:val="center"/>
              <w:rPr>
                <w:sz w:val="20"/>
                <w:szCs w:val="20"/>
                <w:lang w:val="en-US"/>
              </w:rPr>
            </w:pPr>
            <w:r w:rsidRPr="00670221">
              <w:rPr>
                <w:sz w:val="20"/>
                <w:szCs w:val="20"/>
                <w:lang w:val="en-US"/>
              </w:rPr>
              <w:t>EUR 26047</w:t>
            </w:r>
          </w:p>
        </w:tc>
        <w:tc>
          <w:tcPr>
            <w:tcW w:w="1503" w:type="dxa"/>
          </w:tcPr>
          <w:p w14:paraId="40152A66" w14:textId="5383E98C" w:rsidR="00F01B6B" w:rsidRPr="00670221" w:rsidRDefault="00F01B6B" w:rsidP="00F01B6B">
            <w:pPr>
              <w:jc w:val="center"/>
              <w:rPr>
                <w:sz w:val="20"/>
                <w:szCs w:val="20"/>
                <w:lang w:val="en-US"/>
              </w:rPr>
            </w:pPr>
            <w:r w:rsidRPr="00670221">
              <w:rPr>
                <w:sz w:val="20"/>
                <w:szCs w:val="20"/>
                <w:lang w:val="en-US"/>
              </w:rPr>
              <w:t>EUR 5511</w:t>
            </w:r>
          </w:p>
        </w:tc>
        <w:tc>
          <w:tcPr>
            <w:tcW w:w="1503" w:type="dxa"/>
          </w:tcPr>
          <w:p w14:paraId="07086E6A" w14:textId="06A3937A" w:rsidR="00F01B6B" w:rsidRPr="00670221" w:rsidRDefault="00F01B6B" w:rsidP="00F01B6B">
            <w:pPr>
              <w:jc w:val="center"/>
              <w:rPr>
                <w:sz w:val="20"/>
                <w:szCs w:val="20"/>
                <w:lang w:val="en-US"/>
              </w:rPr>
            </w:pPr>
            <w:r w:rsidRPr="00670221">
              <w:rPr>
                <w:sz w:val="20"/>
                <w:szCs w:val="20"/>
                <w:lang w:val="en-US"/>
              </w:rPr>
              <w:t>21.2%</w:t>
            </w:r>
          </w:p>
        </w:tc>
        <w:tc>
          <w:tcPr>
            <w:tcW w:w="1503" w:type="dxa"/>
          </w:tcPr>
          <w:p w14:paraId="69808670" w14:textId="4C5D6D36" w:rsidR="00F01B6B" w:rsidRPr="00670221" w:rsidRDefault="00F01B6B" w:rsidP="00F01B6B">
            <w:pPr>
              <w:jc w:val="center"/>
              <w:rPr>
                <w:sz w:val="20"/>
                <w:szCs w:val="20"/>
                <w:lang w:val="en-US"/>
              </w:rPr>
            </w:pPr>
            <w:r w:rsidRPr="00670221">
              <w:rPr>
                <w:sz w:val="20"/>
                <w:szCs w:val="20"/>
                <w:lang w:val="en-US"/>
              </w:rPr>
              <w:t>3.2%</w:t>
            </w:r>
          </w:p>
        </w:tc>
      </w:tr>
      <w:tr w:rsidR="00F01B6B" w:rsidRPr="00670221" w14:paraId="54A34726" w14:textId="77777777" w:rsidTr="00F01B6B">
        <w:tc>
          <w:tcPr>
            <w:tcW w:w="1502" w:type="dxa"/>
          </w:tcPr>
          <w:p w14:paraId="0FC4E5D4" w14:textId="37338BCE" w:rsidR="00F01B6B" w:rsidRPr="00670221" w:rsidRDefault="00F01B6B" w:rsidP="00F01B6B">
            <w:pPr>
              <w:jc w:val="center"/>
              <w:rPr>
                <w:sz w:val="20"/>
                <w:szCs w:val="20"/>
                <w:lang w:val="en-US"/>
              </w:rPr>
            </w:pPr>
            <w:r w:rsidRPr="00670221">
              <w:rPr>
                <w:sz w:val="20"/>
                <w:szCs w:val="20"/>
                <w:lang w:val="en-US"/>
              </w:rPr>
              <w:t>easyJet</w:t>
            </w:r>
          </w:p>
        </w:tc>
        <w:tc>
          <w:tcPr>
            <w:tcW w:w="1502" w:type="dxa"/>
          </w:tcPr>
          <w:p w14:paraId="0FB1A886" w14:textId="4F8739D9" w:rsidR="00F01B6B" w:rsidRPr="00670221" w:rsidRDefault="00F01B6B" w:rsidP="00F01B6B">
            <w:pPr>
              <w:jc w:val="center"/>
              <w:rPr>
                <w:sz w:val="20"/>
                <w:szCs w:val="20"/>
                <w:lang w:val="en-US"/>
              </w:rPr>
            </w:pPr>
            <w:r w:rsidRPr="00670221">
              <w:rPr>
                <w:sz w:val="20"/>
                <w:szCs w:val="20"/>
                <w:lang w:val="en-US"/>
              </w:rPr>
              <w:t>2018/2019</w:t>
            </w:r>
          </w:p>
        </w:tc>
        <w:tc>
          <w:tcPr>
            <w:tcW w:w="1503" w:type="dxa"/>
          </w:tcPr>
          <w:p w14:paraId="2D9AD122" w14:textId="11C315C6" w:rsidR="00F01B6B" w:rsidRPr="00670221" w:rsidRDefault="00F01B6B" w:rsidP="00F01B6B">
            <w:pPr>
              <w:jc w:val="center"/>
              <w:rPr>
                <w:sz w:val="20"/>
                <w:szCs w:val="20"/>
                <w:lang w:val="en-US"/>
              </w:rPr>
            </w:pPr>
            <w:r w:rsidRPr="00670221">
              <w:rPr>
                <w:sz w:val="20"/>
                <w:szCs w:val="20"/>
                <w:lang w:val="en-US"/>
              </w:rPr>
              <w:t>GBP 5984</w:t>
            </w:r>
          </w:p>
        </w:tc>
        <w:tc>
          <w:tcPr>
            <w:tcW w:w="1503" w:type="dxa"/>
          </w:tcPr>
          <w:p w14:paraId="2755BE86" w14:textId="0426FB8A" w:rsidR="00F01B6B" w:rsidRPr="00670221" w:rsidRDefault="00F01B6B" w:rsidP="00F01B6B">
            <w:pPr>
              <w:jc w:val="center"/>
              <w:rPr>
                <w:sz w:val="20"/>
                <w:szCs w:val="20"/>
                <w:lang w:val="en-US"/>
              </w:rPr>
            </w:pPr>
            <w:r w:rsidRPr="00670221">
              <w:rPr>
                <w:sz w:val="20"/>
                <w:szCs w:val="20"/>
                <w:lang w:val="en-US"/>
              </w:rPr>
              <w:t>GBP 1416</w:t>
            </w:r>
          </w:p>
        </w:tc>
        <w:tc>
          <w:tcPr>
            <w:tcW w:w="1503" w:type="dxa"/>
          </w:tcPr>
          <w:p w14:paraId="1F7AE4DC" w14:textId="668C8FDB" w:rsidR="00F01B6B" w:rsidRPr="00670221" w:rsidRDefault="00F01B6B" w:rsidP="00F01B6B">
            <w:pPr>
              <w:jc w:val="center"/>
              <w:rPr>
                <w:sz w:val="20"/>
                <w:szCs w:val="20"/>
                <w:lang w:val="en-US"/>
              </w:rPr>
            </w:pPr>
            <w:r w:rsidRPr="00670221">
              <w:rPr>
                <w:sz w:val="20"/>
                <w:szCs w:val="20"/>
                <w:lang w:val="en-US"/>
              </w:rPr>
              <w:t>23.7%</w:t>
            </w:r>
          </w:p>
        </w:tc>
        <w:tc>
          <w:tcPr>
            <w:tcW w:w="1503" w:type="dxa"/>
          </w:tcPr>
          <w:p w14:paraId="48AA9F04" w14:textId="3977C3A3" w:rsidR="00F01B6B" w:rsidRPr="00670221" w:rsidRDefault="00F01B6B" w:rsidP="00F01B6B">
            <w:pPr>
              <w:jc w:val="center"/>
              <w:rPr>
                <w:sz w:val="20"/>
                <w:szCs w:val="20"/>
                <w:lang w:val="en-US"/>
              </w:rPr>
            </w:pPr>
            <w:r w:rsidRPr="00670221">
              <w:rPr>
                <w:sz w:val="20"/>
                <w:szCs w:val="20"/>
                <w:lang w:val="en-US"/>
              </w:rPr>
              <w:t>6.7%</w:t>
            </w:r>
          </w:p>
        </w:tc>
      </w:tr>
      <w:tr w:rsidR="00F01B6B" w:rsidRPr="00670221" w14:paraId="4A5BC242" w14:textId="77777777" w:rsidTr="00F01B6B">
        <w:tc>
          <w:tcPr>
            <w:tcW w:w="1502" w:type="dxa"/>
          </w:tcPr>
          <w:p w14:paraId="16ED6FD3" w14:textId="42992074" w:rsidR="00F01B6B" w:rsidRPr="00670221" w:rsidRDefault="00F01B6B" w:rsidP="00F01B6B">
            <w:pPr>
              <w:jc w:val="center"/>
              <w:rPr>
                <w:sz w:val="20"/>
                <w:szCs w:val="20"/>
                <w:lang w:val="en-US"/>
              </w:rPr>
            </w:pPr>
            <w:r w:rsidRPr="00670221">
              <w:rPr>
                <w:sz w:val="20"/>
                <w:szCs w:val="20"/>
                <w:lang w:val="en-US"/>
              </w:rPr>
              <w:t>IAG</w:t>
            </w:r>
          </w:p>
        </w:tc>
        <w:tc>
          <w:tcPr>
            <w:tcW w:w="1502" w:type="dxa"/>
          </w:tcPr>
          <w:p w14:paraId="2DE79E29" w14:textId="077ECCA0" w:rsidR="00F01B6B" w:rsidRPr="00670221" w:rsidRDefault="00F01B6B" w:rsidP="00F01B6B">
            <w:pPr>
              <w:jc w:val="center"/>
              <w:rPr>
                <w:sz w:val="20"/>
                <w:szCs w:val="20"/>
                <w:lang w:val="en-US"/>
              </w:rPr>
            </w:pPr>
            <w:r w:rsidRPr="00670221">
              <w:rPr>
                <w:sz w:val="20"/>
                <w:szCs w:val="20"/>
                <w:lang w:val="en-US"/>
              </w:rPr>
              <w:t>2019</w:t>
            </w:r>
          </w:p>
        </w:tc>
        <w:tc>
          <w:tcPr>
            <w:tcW w:w="1503" w:type="dxa"/>
          </w:tcPr>
          <w:p w14:paraId="29AB60B0" w14:textId="1FCDF826" w:rsidR="00F01B6B" w:rsidRPr="00670221" w:rsidRDefault="00F01B6B" w:rsidP="00F01B6B">
            <w:pPr>
              <w:jc w:val="center"/>
              <w:rPr>
                <w:sz w:val="20"/>
                <w:szCs w:val="20"/>
                <w:lang w:val="en-US"/>
              </w:rPr>
            </w:pPr>
            <w:r w:rsidRPr="00670221">
              <w:rPr>
                <w:sz w:val="20"/>
                <w:szCs w:val="20"/>
                <w:lang w:val="en-US"/>
              </w:rPr>
              <w:t>GBP 22221</w:t>
            </w:r>
          </w:p>
        </w:tc>
        <w:tc>
          <w:tcPr>
            <w:tcW w:w="1503" w:type="dxa"/>
          </w:tcPr>
          <w:p w14:paraId="2EA918F4" w14:textId="19B9C85D" w:rsidR="00F01B6B" w:rsidRPr="00670221" w:rsidRDefault="00F01B6B" w:rsidP="00F01B6B">
            <w:pPr>
              <w:jc w:val="center"/>
              <w:rPr>
                <w:sz w:val="20"/>
                <w:szCs w:val="20"/>
                <w:lang w:val="en-US"/>
              </w:rPr>
            </w:pPr>
            <w:r w:rsidRPr="00670221">
              <w:rPr>
                <w:sz w:val="20"/>
                <w:szCs w:val="20"/>
                <w:lang w:val="en-US"/>
              </w:rPr>
              <w:t>GBP 6021</w:t>
            </w:r>
          </w:p>
        </w:tc>
        <w:tc>
          <w:tcPr>
            <w:tcW w:w="1503" w:type="dxa"/>
          </w:tcPr>
          <w:p w14:paraId="282F1A64" w14:textId="074865F0" w:rsidR="00F01B6B" w:rsidRPr="00670221" w:rsidRDefault="00F01B6B" w:rsidP="00F01B6B">
            <w:pPr>
              <w:jc w:val="center"/>
              <w:rPr>
                <w:sz w:val="20"/>
                <w:szCs w:val="20"/>
                <w:lang w:val="en-US"/>
              </w:rPr>
            </w:pPr>
            <w:r w:rsidRPr="00670221">
              <w:rPr>
                <w:sz w:val="20"/>
                <w:szCs w:val="20"/>
                <w:lang w:val="en-US"/>
              </w:rPr>
              <w:t>27.1%</w:t>
            </w:r>
          </w:p>
        </w:tc>
        <w:tc>
          <w:tcPr>
            <w:tcW w:w="1503" w:type="dxa"/>
          </w:tcPr>
          <w:p w14:paraId="32142853" w14:textId="7F7B6CF8" w:rsidR="00F01B6B" w:rsidRPr="00670221" w:rsidRDefault="00F01B6B" w:rsidP="00F01B6B">
            <w:pPr>
              <w:jc w:val="center"/>
              <w:rPr>
                <w:sz w:val="20"/>
                <w:szCs w:val="20"/>
                <w:lang w:val="en-US"/>
              </w:rPr>
            </w:pPr>
            <w:r w:rsidRPr="00670221">
              <w:rPr>
                <w:sz w:val="20"/>
                <w:szCs w:val="20"/>
                <w:lang w:val="en-US"/>
              </w:rPr>
              <w:t>13.9%</w:t>
            </w:r>
          </w:p>
        </w:tc>
      </w:tr>
      <w:tr w:rsidR="00F01B6B" w:rsidRPr="00670221" w14:paraId="6369EF77" w14:textId="77777777" w:rsidTr="00F01B6B">
        <w:tc>
          <w:tcPr>
            <w:tcW w:w="1502" w:type="dxa"/>
          </w:tcPr>
          <w:p w14:paraId="3D382A1B" w14:textId="3D105C8E" w:rsidR="00F01B6B" w:rsidRPr="00670221" w:rsidRDefault="00F01B6B" w:rsidP="00F01B6B">
            <w:pPr>
              <w:jc w:val="center"/>
              <w:rPr>
                <w:sz w:val="20"/>
                <w:szCs w:val="20"/>
                <w:lang w:val="en-US"/>
              </w:rPr>
            </w:pPr>
            <w:r w:rsidRPr="00670221">
              <w:rPr>
                <w:sz w:val="20"/>
                <w:szCs w:val="20"/>
                <w:lang w:val="en-US"/>
              </w:rPr>
              <w:t>Lufthansa (Network Airlines)</w:t>
            </w:r>
          </w:p>
        </w:tc>
        <w:tc>
          <w:tcPr>
            <w:tcW w:w="1502" w:type="dxa"/>
          </w:tcPr>
          <w:p w14:paraId="2EB41644" w14:textId="37BB942B" w:rsidR="00F01B6B" w:rsidRPr="00670221" w:rsidRDefault="00F01B6B" w:rsidP="00F01B6B">
            <w:pPr>
              <w:jc w:val="center"/>
              <w:rPr>
                <w:sz w:val="20"/>
                <w:szCs w:val="20"/>
                <w:lang w:val="en-US"/>
              </w:rPr>
            </w:pPr>
            <w:r w:rsidRPr="00670221">
              <w:rPr>
                <w:sz w:val="20"/>
                <w:szCs w:val="20"/>
                <w:lang w:val="en-US"/>
              </w:rPr>
              <w:t>2019</w:t>
            </w:r>
          </w:p>
        </w:tc>
        <w:tc>
          <w:tcPr>
            <w:tcW w:w="1503" w:type="dxa"/>
          </w:tcPr>
          <w:p w14:paraId="4DC6FAFB" w14:textId="3BB58261" w:rsidR="00F01B6B" w:rsidRPr="00670221" w:rsidRDefault="00F01B6B" w:rsidP="00F01B6B">
            <w:pPr>
              <w:jc w:val="center"/>
              <w:rPr>
                <w:sz w:val="20"/>
                <w:szCs w:val="20"/>
                <w:lang w:val="en-US"/>
              </w:rPr>
            </w:pPr>
            <w:r w:rsidRPr="00670221">
              <w:rPr>
                <w:sz w:val="20"/>
                <w:szCs w:val="20"/>
                <w:lang w:val="en-US"/>
              </w:rPr>
              <w:t>EUR 22132</w:t>
            </w:r>
          </w:p>
        </w:tc>
        <w:tc>
          <w:tcPr>
            <w:tcW w:w="1503" w:type="dxa"/>
          </w:tcPr>
          <w:p w14:paraId="65974593" w14:textId="79944A9D" w:rsidR="00F01B6B" w:rsidRPr="00670221" w:rsidRDefault="00F01B6B" w:rsidP="00F01B6B">
            <w:pPr>
              <w:jc w:val="center"/>
              <w:rPr>
                <w:sz w:val="20"/>
                <w:szCs w:val="20"/>
                <w:lang w:val="en-US"/>
              </w:rPr>
            </w:pPr>
            <w:r w:rsidRPr="00670221">
              <w:rPr>
                <w:sz w:val="20"/>
                <w:szCs w:val="20"/>
                <w:lang w:val="en-US"/>
              </w:rPr>
              <w:t>EUR 5326</w:t>
            </w:r>
          </w:p>
        </w:tc>
        <w:tc>
          <w:tcPr>
            <w:tcW w:w="1503" w:type="dxa"/>
          </w:tcPr>
          <w:p w14:paraId="775502CC" w14:textId="48FF58FA" w:rsidR="00F01B6B" w:rsidRPr="00670221" w:rsidRDefault="00F01B6B" w:rsidP="00F01B6B">
            <w:pPr>
              <w:jc w:val="center"/>
              <w:rPr>
                <w:sz w:val="20"/>
                <w:szCs w:val="20"/>
                <w:lang w:val="en-US"/>
              </w:rPr>
            </w:pPr>
            <w:r w:rsidRPr="00670221">
              <w:rPr>
                <w:sz w:val="20"/>
                <w:szCs w:val="20"/>
                <w:lang w:val="en-US"/>
              </w:rPr>
              <w:t>24.1%</w:t>
            </w:r>
          </w:p>
        </w:tc>
        <w:tc>
          <w:tcPr>
            <w:tcW w:w="1503" w:type="dxa"/>
          </w:tcPr>
          <w:p w14:paraId="1359499E" w14:textId="070556E6" w:rsidR="00F01B6B" w:rsidRPr="00670221" w:rsidRDefault="00F01B6B" w:rsidP="00F01B6B">
            <w:pPr>
              <w:jc w:val="center"/>
              <w:rPr>
                <w:sz w:val="20"/>
                <w:szCs w:val="20"/>
                <w:lang w:val="en-US"/>
              </w:rPr>
            </w:pPr>
            <w:r w:rsidRPr="00670221">
              <w:rPr>
                <w:sz w:val="20"/>
                <w:szCs w:val="20"/>
                <w:lang w:val="en-US"/>
              </w:rPr>
              <w:t>7.8%</w:t>
            </w:r>
          </w:p>
        </w:tc>
      </w:tr>
      <w:tr w:rsidR="00F01B6B" w:rsidRPr="00670221" w14:paraId="0E07764F" w14:textId="77777777" w:rsidTr="00F01B6B">
        <w:tc>
          <w:tcPr>
            <w:tcW w:w="1502" w:type="dxa"/>
          </w:tcPr>
          <w:p w14:paraId="7214837E" w14:textId="72E3747E" w:rsidR="00F01B6B" w:rsidRPr="00670221" w:rsidRDefault="00F01B6B" w:rsidP="00F01B6B">
            <w:pPr>
              <w:jc w:val="center"/>
              <w:rPr>
                <w:sz w:val="20"/>
                <w:szCs w:val="20"/>
                <w:lang w:val="en-US"/>
              </w:rPr>
            </w:pPr>
            <w:r w:rsidRPr="00670221">
              <w:rPr>
                <w:sz w:val="20"/>
                <w:szCs w:val="20"/>
                <w:lang w:val="en-US"/>
              </w:rPr>
              <w:t>Lufthansa (Eurowings)</w:t>
            </w:r>
          </w:p>
        </w:tc>
        <w:tc>
          <w:tcPr>
            <w:tcW w:w="1502" w:type="dxa"/>
          </w:tcPr>
          <w:p w14:paraId="18055BC2" w14:textId="1AF8F5CB" w:rsidR="00F01B6B" w:rsidRPr="00670221" w:rsidRDefault="00F01B6B" w:rsidP="00F01B6B">
            <w:pPr>
              <w:jc w:val="center"/>
              <w:rPr>
                <w:sz w:val="20"/>
                <w:szCs w:val="20"/>
                <w:lang w:val="en-US"/>
              </w:rPr>
            </w:pPr>
            <w:r w:rsidRPr="00670221">
              <w:rPr>
                <w:sz w:val="20"/>
                <w:szCs w:val="20"/>
                <w:lang w:val="en-US"/>
              </w:rPr>
              <w:t>2019</w:t>
            </w:r>
          </w:p>
        </w:tc>
        <w:tc>
          <w:tcPr>
            <w:tcW w:w="1503" w:type="dxa"/>
          </w:tcPr>
          <w:p w14:paraId="209DD302" w14:textId="5BFA3580" w:rsidR="00F01B6B" w:rsidRPr="00670221" w:rsidRDefault="00F01B6B" w:rsidP="00F01B6B">
            <w:pPr>
              <w:jc w:val="center"/>
              <w:rPr>
                <w:sz w:val="20"/>
                <w:szCs w:val="20"/>
                <w:lang w:val="en-US"/>
              </w:rPr>
            </w:pPr>
            <w:r w:rsidRPr="00670221">
              <w:rPr>
                <w:sz w:val="20"/>
                <w:szCs w:val="20"/>
                <w:lang w:val="en-US"/>
              </w:rPr>
              <w:t>EUR 4655</w:t>
            </w:r>
          </w:p>
        </w:tc>
        <w:tc>
          <w:tcPr>
            <w:tcW w:w="1503" w:type="dxa"/>
          </w:tcPr>
          <w:p w14:paraId="61B4A9AC" w14:textId="28E357A7" w:rsidR="00F01B6B" w:rsidRPr="00670221" w:rsidRDefault="00F01B6B" w:rsidP="00F01B6B">
            <w:pPr>
              <w:jc w:val="center"/>
              <w:rPr>
                <w:sz w:val="20"/>
                <w:szCs w:val="20"/>
                <w:lang w:val="en-US"/>
              </w:rPr>
            </w:pPr>
            <w:r w:rsidRPr="00670221">
              <w:rPr>
                <w:sz w:val="20"/>
                <w:szCs w:val="20"/>
                <w:lang w:val="en-US"/>
              </w:rPr>
              <w:t>EUR 1054</w:t>
            </w:r>
          </w:p>
        </w:tc>
        <w:tc>
          <w:tcPr>
            <w:tcW w:w="1503" w:type="dxa"/>
          </w:tcPr>
          <w:p w14:paraId="6ADE234B" w14:textId="34A66794" w:rsidR="00F01B6B" w:rsidRPr="00670221" w:rsidRDefault="00F01B6B" w:rsidP="00F01B6B">
            <w:pPr>
              <w:jc w:val="center"/>
              <w:rPr>
                <w:sz w:val="20"/>
                <w:szCs w:val="20"/>
                <w:lang w:val="en-US"/>
              </w:rPr>
            </w:pPr>
            <w:r w:rsidRPr="00670221">
              <w:rPr>
                <w:sz w:val="20"/>
                <w:szCs w:val="20"/>
                <w:lang w:val="en-US"/>
              </w:rPr>
              <w:t>22.6%</w:t>
            </w:r>
          </w:p>
        </w:tc>
        <w:tc>
          <w:tcPr>
            <w:tcW w:w="1503" w:type="dxa"/>
          </w:tcPr>
          <w:p w14:paraId="66FCDF17" w14:textId="6EE05E4C" w:rsidR="00F01B6B" w:rsidRPr="00670221" w:rsidRDefault="00F01B6B" w:rsidP="00F01B6B">
            <w:pPr>
              <w:jc w:val="center"/>
              <w:rPr>
                <w:sz w:val="20"/>
                <w:szCs w:val="20"/>
                <w:lang w:val="en-US"/>
              </w:rPr>
            </w:pPr>
            <w:r w:rsidRPr="00670221">
              <w:rPr>
                <w:sz w:val="20"/>
                <w:szCs w:val="20"/>
                <w:lang w:val="en-US"/>
              </w:rPr>
              <w:t>-4.0%</w:t>
            </w:r>
          </w:p>
        </w:tc>
      </w:tr>
      <w:tr w:rsidR="00F01B6B" w:rsidRPr="00670221" w14:paraId="6AF0B45D" w14:textId="77777777" w:rsidTr="00F01B6B">
        <w:tc>
          <w:tcPr>
            <w:tcW w:w="1502" w:type="dxa"/>
          </w:tcPr>
          <w:p w14:paraId="4F527F54" w14:textId="308E7907" w:rsidR="00F01B6B" w:rsidRPr="00670221" w:rsidRDefault="00F01B6B" w:rsidP="00F01B6B">
            <w:pPr>
              <w:jc w:val="center"/>
              <w:rPr>
                <w:sz w:val="20"/>
                <w:szCs w:val="20"/>
                <w:lang w:val="en-US"/>
              </w:rPr>
            </w:pPr>
            <w:r w:rsidRPr="00670221">
              <w:rPr>
                <w:sz w:val="20"/>
                <w:szCs w:val="20"/>
                <w:lang w:val="en-US"/>
              </w:rPr>
              <w:t>Ryanair</w:t>
            </w:r>
          </w:p>
        </w:tc>
        <w:tc>
          <w:tcPr>
            <w:tcW w:w="1502" w:type="dxa"/>
          </w:tcPr>
          <w:p w14:paraId="2AEB900F" w14:textId="64C5DF47" w:rsidR="00F01B6B" w:rsidRPr="00670221" w:rsidRDefault="00F01B6B" w:rsidP="00F01B6B">
            <w:pPr>
              <w:jc w:val="center"/>
              <w:rPr>
                <w:sz w:val="20"/>
                <w:szCs w:val="20"/>
                <w:lang w:val="en-US"/>
              </w:rPr>
            </w:pPr>
            <w:r w:rsidRPr="00670221">
              <w:rPr>
                <w:sz w:val="20"/>
                <w:szCs w:val="20"/>
                <w:lang w:val="en-US"/>
              </w:rPr>
              <w:t>2019/2020</w:t>
            </w:r>
          </w:p>
        </w:tc>
        <w:tc>
          <w:tcPr>
            <w:tcW w:w="1503" w:type="dxa"/>
          </w:tcPr>
          <w:p w14:paraId="2A02616C" w14:textId="1613898D" w:rsidR="00F01B6B" w:rsidRPr="00670221" w:rsidRDefault="00F01B6B" w:rsidP="00F01B6B">
            <w:pPr>
              <w:jc w:val="center"/>
              <w:rPr>
                <w:sz w:val="20"/>
                <w:szCs w:val="20"/>
                <w:lang w:val="en-US"/>
              </w:rPr>
            </w:pPr>
            <w:r w:rsidRPr="00670221">
              <w:rPr>
                <w:sz w:val="20"/>
                <w:szCs w:val="20"/>
                <w:lang w:val="en-US"/>
              </w:rPr>
              <w:t>EUR 2762</w:t>
            </w:r>
          </w:p>
        </w:tc>
        <w:tc>
          <w:tcPr>
            <w:tcW w:w="1503" w:type="dxa"/>
          </w:tcPr>
          <w:p w14:paraId="38603B22" w14:textId="0690A923" w:rsidR="00F01B6B" w:rsidRPr="00670221" w:rsidRDefault="00F01B6B" w:rsidP="00F01B6B">
            <w:pPr>
              <w:jc w:val="center"/>
              <w:rPr>
                <w:sz w:val="20"/>
                <w:szCs w:val="20"/>
                <w:lang w:val="en-US"/>
              </w:rPr>
            </w:pPr>
            <w:r w:rsidRPr="00670221">
              <w:rPr>
                <w:sz w:val="20"/>
                <w:szCs w:val="20"/>
                <w:lang w:val="en-US"/>
              </w:rPr>
              <w:t>EUR 2762</w:t>
            </w:r>
          </w:p>
        </w:tc>
        <w:tc>
          <w:tcPr>
            <w:tcW w:w="1503" w:type="dxa"/>
          </w:tcPr>
          <w:p w14:paraId="5EC96B74" w14:textId="76B55F0E" w:rsidR="00F01B6B" w:rsidRPr="00670221" w:rsidRDefault="00F01B6B" w:rsidP="00F01B6B">
            <w:pPr>
              <w:jc w:val="center"/>
              <w:rPr>
                <w:sz w:val="20"/>
                <w:szCs w:val="20"/>
                <w:lang w:val="en-US"/>
              </w:rPr>
            </w:pPr>
            <w:r w:rsidRPr="00670221">
              <w:rPr>
                <w:sz w:val="20"/>
                <w:szCs w:val="20"/>
                <w:lang w:val="en-US"/>
              </w:rPr>
              <w:t>34.2%</w:t>
            </w:r>
          </w:p>
        </w:tc>
        <w:tc>
          <w:tcPr>
            <w:tcW w:w="1503" w:type="dxa"/>
          </w:tcPr>
          <w:p w14:paraId="702C34C1" w14:textId="270C96E5" w:rsidR="00F01B6B" w:rsidRPr="00670221" w:rsidRDefault="00F01B6B" w:rsidP="00F01B6B">
            <w:pPr>
              <w:keepNext/>
              <w:jc w:val="center"/>
              <w:rPr>
                <w:sz w:val="20"/>
                <w:szCs w:val="20"/>
                <w:lang w:val="en-US"/>
              </w:rPr>
            </w:pPr>
            <w:r w:rsidRPr="00670221">
              <w:rPr>
                <w:sz w:val="20"/>
                <w:szCs w:val="20"/>
                <w:lang w:val="en-US"/>
              </w:rPr>
              <w:t>13.3%</w:t>
            </w:r>
          </w:p>
        </w:tc>
      </w:tr>
    </w:tbl>
    <w:p w14:paraId="0741DEB8" w14:textId="23802587" w:rsidR="008359BF" w:rsidRPr="00670221" w:rsidRDefault="00F01B6B" w:rsidP="000778C4">
      <w:pPr>
        <w:pStyle w:val="Caption"/>
        <w:rPr>
          <w:lang w:val="en-US"/>
        </w:rPr>
      </w:pPr>
      <w:bookmarkStart w:id="56" w:name="_Toc184403583"/>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3</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1</w:t>
      </w:r>
      <w:r w:rsidR="00EF60A5" w:rsidRPr="00670221">
        <w:rPr>
          <w:lang w:val="en-US"/>
        </w:rPr>
        <w:fldChar w:fldCharType="end"/>
      </w:r>
      <w:r w:rsidRPr="00670221">
        <w:rPr>
          <w:lang w:val="en-US"/>
        </w:rPr>
        <w:t xml:space="preserve">: </w:t>
      </w:r>
      <w:r w:rsidR="00EA124D" w:rsidRPr="00670221">
        <w:rPr>
          <w:lang w:val="en-US"/>
        </w:rPr>
        <w:t>O</w:t>
      </w:r>
      <w:r w:rsidRPr="00670221">
        <w:rPr>
          <w:lang w:val="en-US"/>
        </w:rPr>
        <w:t xml:space="preserve">verview of the </w:t>
      </w:r>
      <w:r w:rsidR="00EA124D" w:rsidRPr="00670221">
        <w:rPr>
          <w:lang w:val="en-US"/>
        </w:rPr>
        <w:t>f</w:t>
      </w:r>
      <w:r w:rsidRPr="00670221">
        <w:rPr>
          <w:lang w:val="en-US"/>
        </w:rPr>
        <w:t xml:space="preserve">uel </w:t>
      </w:r>
      <w:r w:rsidR="00EA124D" w:rsidRPr="00670221">
        <w:rPr>
          <w:lang w:val="en-US"/>
        </w:rPr>
        <w:t>c</w:t>
      </w:r>
      <w:r w:rsidRPr="00670221">
        <w:rPr>
          <w:lang w:val="en-US"/>
        </w:rPr>
        <w:t xml:space="preserve">ost </w:t>
      </w:r>
      <w:r w:rsidR="00EA124D" w:rsidRPr="00670221">
        <w:rPr>
          <w:lang w:val="en-US"/>
        </w:rPr>
        <w:t>s</w:t>
      </w:r>
      <w:r w:rsidRPr="00670221">
        <w:rPr>
          <w:lang w:val="en-US"/>
        </w:rPr>
        <w:t xml:space="preserve">hare and </w:t>
      </w:r>
      <w:r w:rsidR="00EA124D" w:rsidRPr="00670221">
        <w:rPr>
          <w:lang w:val="en-US"/>
        </w:rPr>
        <w:t>o</w:t>
      </w:r>
      <w:r w:rsidRPr="00670221">
        <w:rPr>
          <w:lang w:val="en-US"/>
        </w:rPr>
        <w:t xml:space="preserve">perating </w:t>
      </w:r>
      <w:r w:rsidR="00EA124D" w:rsidRPr="00670221">
        <w:rPr>
          <w:lang w:val="en-US"/>
        </w:rPr>
        <w:t>p</w:t>
      </w:r>
      <w:r w:rsidRPr="00670221">
        <w:rPr>
          <w:lang w:val="en-US"/>
        </w:rPr>
        <w:t xml:space="preserve">rofit </w:t>
      </w:r>
      <w:r w:rsidR="00EA124D" w:rsidRPr="00670221">
        <w:rPr>
          <w:lang w:val="en-US"/>
        </w:rPr>
        <w:t>m</w:t>
      </w:r>
      <w:r w:rsidRPr="00670221">
        <w:rPr>
          <w:lang w:val="en-US"/>
        </w:rPr>
        <w:t xml:space="preserve">argin of Europe's largest </w:t>
      </w:r>
      <w:r w:rsidR="00EA124D" w:rsidRPr="00670221">
        <w:rPr>
          <w:lang w:val="en-US"/>
        </w:rPr>
        <w:t>a</w:t>
      </w:r>
      <w:r w:rsidRPr="00670221">
        <w:rPr>
          <w:lang w:val="en-US"/>
        </w:rPr>
        <w:t>irlines (</w:t>
      </w:r>
      <w:r w:rsidR="008359BF" w:rsidRPr="00670221">
        <w:rPr>
          <w:lang w:val="en-US"/>
        </w:rPr>
        <w:t>Grimme, 2023)</w:t>
      </w:r>
      <w:bookmarkEnd w:id="56"/>
    </w:p>
    <w:p w14:paraId="579BE923" w14:textId="1EFE140A" w:rsidR="00F01B6B" w:rsidRPr="00670221" w:rsidRDefault="00F01B6B" w:rsidP="00F01B6B">
      <w:pPr>
        <w:rPr>
          <w:lang w:val="en-US"/>
        </w:rPr>
      </w:pPr>
      <w:r w:rsidRPr="00670221">
        <w:rPr>
          <w:lang w:val="en-US"/>
        </w:rPr>
        <w:t>As the table shows, fuel costs already account for approximately 25% of total operational expenses for airlines, with some, like Ryanair, having fuel costs as high as 34% of their total costs. If SAF production costs remain</w:t>
      </w:r>
      <w:r w:rsidR="00E930D3" w:rsidRPr="00670221">
        <w:rPr>
          <w:lang w:val="en-US"/>
        </w:rPr>
        <w:t xml:space="preserve"> several times</w:t>
      </w:r>
      <w:r w:rsidRPr="00670221">
        <w:rPr>
          <w:lang w:val="en-US"/>
        </w:rPr>
        <w:t xml:space="preserve"> higher than fossil jet fuel, it would be nearly impossible for airlines to remain profitable without significant price hikes. Given the narrow operating profit margins across the industry, such as Air France KLM’s 3.2% or Lufthansa’s 7.8%, absorbing the higher cost of SAF would severely impact airlines' financial viability.</w:t>
      </w:r>
    </w:p>
    <w:p w14:paraId="3086C73D" w14:textId="14C80BF5" w:rsidR="00F01B6B" w:rsidRPr="00670221" w:rsidRDefault="00F01B6B" w:rsidP="00F01B6B">
      <w:pPr>
        <w:rPr>
          <w:lang w:val="en-US"/>
        </w:rPr>
      </w:pPr>
      <w:r w:rsidRPr="00670221">
        <w:rPr>
          <w:lang w:val="en-US"/>
        </w:rPr>
        <w:t xml:space="preserve">This challenge highlights the urgent need for technological advancements that lower the cost of SAF production. Without cheaper production methods, airlines would struggle to adopt SAF on a large scale. Additionally, venture capital </w:t>
      </w:r>
      <w:r w:rsidR="00DC1CE3" w:rsidRPr="00670221">
        <w:rPr>
          <w:lang w:val="en-US"/>
        </w:rPr>
        <w:t>(VC)</w:t>
      </w:r>
      <w:r w:rsidRPr="00670221">
        <w:rPr>
          <w:lang w:val="en-US"/>
        </w:rPr>
        <w:t xml:space="preserve"> firms play a vital role in financing SAF technology companies. By providing early-stage funding, VC firms help new entrants scale </w:t>
      </w:r>
      <w:r w:rsidRPr="00670221">
        <w:rPr>
          <w:lang w:val="en-US"/>
        </w:rPr>
        <w:lastRenderedPageBreak/>
        <w:t>innovative technologies, contributing to the development of more cost-effective SAF solutions. These efforts are critical to making SAF a viable option for the aviation industry.</w:t>
      </w:r>
    </w:p>
    <w:p w14:paraId="726A8E1B" w14:textId="77777777" w:rsidR="000F2B11" w:rsidRPr="00670221" w:rsidRDefault="000F2B11" w:rsidP="000F2B11">
      <w:pPr>
        <w:rPr>
          <w:lang w:val="en-US"/>
        </w:rPr>
      </w:pPr>
    </w:p>
    <w:p w14:paraId="433FB0DE" w14:textId="5AA16356" w:rsidR="000F2B11" w:rsidRPr="00670221" w:rsidRDefault="00206616" w:rsidP="000F2B11">
      <w:pPr>
        <w:pStyle w:val="Heading2"/>
      </w:pPr>
      <w:bookmarkStart w:id="57" w:name="_Toc184403437"/>
      <w:r w:rsidRPr="00670221">
        <w:t>Institutions</w:t>
      </w:r>
      <w:bookmarkEnd w:id="57"/>
    </w:p>
    <w:p w14:paraId="06389E15" w14:textId="3772D43C" w:rsidR="007A5B64" w:rsidRPr="00670221" w:rsidRDefault="00E07C25" w:rsidP="00814D19">
      <w:pPr>
        <w:rPr>
          <w:lang w:val="en-US"/>
        </w:rPr>
      </w:pPr>
      <w:r w:rsidRPr="00670221">
        <w:rPr>
          <w:lang w:val="en-US"/>
        </w:rPr>
        <w:t>In the TIS framework, institutions are essential for shaping the technological landscape by establishing the formal and informal rules that guide development and adoption. These rules include regulations, policies, and standards that govern how technologies are certified, financed, and adopted in markets. For the purposes of this study, we will focus on the formal rules, such as legislation and policy frameworks, as they directly influence the viability and scalability of SAF technologies within the regulatory environment. These formal institutions help shape innovation by providing the necessary legal and economic incentives or constraints for technological progress.</w:t>
      </w:r>
    </w:p>
    <w:p w14:paraId="5D182CCD" w14:textId="77777777" w:rsidR="00387EB6" w:rsidRPr="00670221" w:rsidRDefault="00387EB6" w:rsidP="00814D19">
      <w:pPr>
        <w:rPr>
          <w:lang w:val="en-US"/>
        </w:rPr>
      </w:pPr>
    </w:p>
    <w:p w14:paraId="7C753567" w14:textId="7E0E3B9E" w:rsidR="001E14C1" w:rsidRPr="00670221" w:rsidRDefault="000827F6" w:rsidP="001E14C1">
      <w:pPr>
        <w:pStyle w:val="Heading3"/>
      </w:pPr>
      <w:bookmarkStart w:id="58" w:name="_Toc184403438"/>
      <w:r w:rsidRPr="00670221">
        <w:t xml:space="preserve">Policy Foundations and </w:t>
      </w:r>
      <w:r w:rsidR="001E2907" w:rsidRPr="00670221">
        <w:t>Global Initiatives</w:t>
      </w:r>
      <w:bookmarkEnd w:id="58"/>
    </w:p>
    <w:p w14:paraId="04A8C2E5" w14:textId="58983B56" w:rsidR="001D7311" w:rsidRPr="00670221" w:rsidRDefault="001D7311" w:rsidP="001D7311">
      <w:pPr>
        <w:rPr>
          <w:lang w:val="en-US"/>
        </w:rPr>
      </w:pPr>
      <w:r w:rsidRPr="00670221">
        <w:rPr>
          <w:lang w:val="en-US"/>
        </w:rPr>
        <w:t>The Paris Agreement, functioning under the framework of the United Nations Framework Convention on Climate Change (UNFCCC), is a multilateral environmental agreement related to climate change and considered as one of the most important institutions</w:t>
      </w:r>
      <w:r w:rsidR="003D60BD" w:rsidRPr="00670221">
        <w:rPr>
          <w:lang w:val="en-US"/>
        </w:rPr>
        <w:t xml:space="preserve"> (United Nations n.d.)</w:t>
      </w:r>
      <w:r w:rsidRPr="00670221">
        <w:rPr>
          <w:lang w:val="en-US"/>
        </w:rPr>
        <w:t>. It legally binds member states to global objectives aimed at limiting the rise in global temperatures to below 2°C, with ambitions to keep it closer to 1.5°C. While the agreement does not impose specific emission reduction targets on individual countries, it requires states to establish their own goals and work towards progressively higher ambitions. Although these country-specific targets are not legally binding, the agreement mandates the reporting, review, and scaling up of</w:t>
      </w:r>
      <w:r w:rsidR="00E663C1" w:rsidRPr="00670221">
        <w:rPr>
          <w:lang w:val="en-US"/>
        </w:rPr>
        <w:t xml:space="preserve"> Nationally Determined </w:t>
      </w:r>
      <w:r w:rsidR="006F7F86" w:rsidRPr="00670221">
        <w:rPr>
          <w:lang w:val="en-US"/>
        </w:rPr>
        <w:t>Contributions</w:t>
      </w:r>
      <w:r w:rsidR="00E663C1" w:rsidRPr="00670221">
        <w:rPr>
          <w:lang w:val="en-US"/>
        </w:rPr>
        <w:t xml:space="preserve"> (NDCs)</w:t>
      </w:r>
      <w:r w:rsidRPr="00670221">
        <w:rPr>
          <w:lang w:val="en-US"/>
        </w:rPr>
        <w:t>, creating a degree of accountability</w:t>
      </w:r>
      <w:r w:rsidR="00E663C1" w:rsidRPr="00670221">
        <w:rPr>
          <w:lang w:val="en-US"/>
        </w:rPr>
        <w:t xml:space="preserve"> (United Nations, n.d.)</w:t>
      </w:r>
      <w:r w:rsidRPr="00670221">
        <w:rPr>
          <w:lang w:val="en-US"/>
        </w:rPr>
        <w:t xml:space="preserve">. The Intergovernmental Panel on Climate Change (IPCC) plays a vital role as a knowledge institute and supportive organization by providing the scientific basis for the Paris Agreement’s goals through its </w:t>
      </w:r>
      <w:r w:rsidR="00D96C5F" w:rsidRPr="00670221">
        <w:rPr>
          <w:lang w:val="en-US"/>
        </w:rPr>
        <w:t>research efforts</w:t>
      </w:r>
      <w:r w:rsidRPr="00670221">
        <w:rPr>
          <w:lang w:val="en-US"/>
        </w:rPr>
        <w:t>, although it does not create policy. The research it conducts highlights the necessity of global sustainability measures.</w:t>
      </w:r>
    </w:p>
    <w:p w14:paraId="2788FC28" w14:textId="4EFF3FBA" w:rsidR="009D4E94" w:rsidRPr="00670221" w:rsidRDefault="009D4E94" w:rsidP="003D60BD">
      <w:pPr>
        <w:pStyle w:val="Heading4"/>
        <w:rPr>
          <w:lang w:val="en-US"/>
        </w:rPr>
      </w:pPr>
      <w:r w:rsidRPr="00670221">
        <w:rPr>
          <w:lang w:val="en-US"/>
        </w:rPr>
        <w:t>CORSIA</w:t>
      </w:r>
    </w:p>
    <w:p w14:paraId="1A76DE80" w14:textId="51ED4679" w:rsidR="003D60BD" w:rsidRPr="00670221" w:rsidRDefault="003D60BD" w:rsidP="003D60BD">
      <w:pPr>
        <w:rPr>
          <w:lang w:val="en-US"/>
        </w:rPr>
      </w:pPr>
      <w:r w:rsidRPr="00670221">
        <w:rPr>
          <w:lang w:val="en-US"/>
        </w:rPr>
        <w:t>The ICAO developed the Carbon Offsetting and Reduction Scheme for International Aviation (CORSIA) in alignment with the Paris Agreement. CORSIA aims to cap international aviation emissions at 2020 levels. Airlines expanding beyond these limits must either adopt carbon-reducing technologies or purchase carbon credits from ICAO-approved sources</w:t>
      </w:r>
      <w:r w:rsidR="0047671F" w:rsidRPr="00670221">
        <w:rPr>
          <w:lang w:val="en-US"/>
        </w:rPr>
        <w:t xml:space="preserve"> (</w:t>
      </w:r>
      <w:proofErr w:type="spellStart"/>
      <w:r w:rsidR="0047671F" w:rsidRPr="00670221">
        <w:rPr>
          <w:lang w:val="en-US"/>
        </w:rPr>
        <w:t>Erriu</w:t>
      </w:r>
      <w:proofErr w:type="spellEnd"/>
      <w:r w:rsidR="0047671F" w:rsidRPr="00670221">
        <w:rPr>
          <w:lang w:val="en-US"/>
        </w:rPr>
        <w:t xml:space="preserve"> et al., 2024)</w:t>
      </w:r>
      <w:r w:rsidRPr="00670221">
        <w:rPr>
          <w:lang w:val="en-US"/>
        </w:rPr>
        <w:t>. E-fuels can qualify under CORSIA as a carbon-reducing technology, provided they meet sustainability criteria, including at least a 10% GHG reduction over fossil fuels</w:t>
      </w:r>
      <w:r w:rsidR="0047671F" w:rsidRPr="00670221">
        <w:rPr>
          <w:lang w:val="en-US"/>
        </w:rPr>
        <w:t xml:space="preserve"> (</w:t>
      </w:r>
      <w:proofErr w:type="spellStart"/>
      <w:r w:rsidR="00003615" w:rsidRPr="00670221">
        <w:rPr>
          <w:lang w:val="en-US"/>
        </w:rPr>
        <w:t>Erriu</w:t>
      </w:r>
      <w:proofErr w:type="spellEnd"/>
      <w:r w:rsidR="00003615" w:rsidRPr="00670221">
        <w:rPr>
          <w:lang w:val="en-US"/>
        </w:rPr>
        <w:t xml:space="preserve"> et al., 2024; </w:t>
      </w:r>
      <w:r w:rsidR="0047671F" w:rsidRPr="00670221">
        <w:rPr>
          <w:lang w:val="en-US"/>
        </w:rPr>
        <w:t>European Union Aviation Safety Agency, 2022)</w:t>
      </w:r>
      <w:r w:rsidRPr="00670221">
        <w:rPr>
          <w:lang w:val="en-US"/>
        </w:rPr>
        <w:t xml:space="preserve">. CORSIA also emphasizes monitoring, reporting, and verification to ensure transparency and compliance in emission reductions. </w:t>
      </w:r>
    </w:p>
    <w:p w14:paraId="6F680D63" w14:textId="5D18C628" w:rsidR="007C1A23" w:rsidRPr="00670221" w:rsidRDefault="007C1A23" w:rsidP="003D60BD">
      <w:pPr>
        <w:pStyle w:val="Heading4"/>
        <w:rPr>
          <w:rFonts w:asciiTheme="minorHAnsi" w:eastAsiaTheme="minorHAnsi" w:hAnsiTheme="minorHAnsi" w:cstheme="minorBidi"/>
          <w:color w:val="auto"/>
          <w:lang w:val="en-US"/>
        </w:rPr>
      </w:pPr>
      <w:r w:rsidRPr="00670221">
        <w:rPr>
          <w:lang w:val="en-US"/>
        </w:rPr>
        <w:t>ASTM D7566</w:t>
      </w:r>
    </w:p>
    <w:p w14:paraId="53F31742" w14:textId="0143B77C" w:rsidR="003D60BD" w:rsidRPr="00670221" w:rsidRDefault="003D60BD" w:rsidP="001D7311">
      <w:pPr>
        <w:rPr>
          <w:lang w:val="en-US"/>
        </w:rPr>
      </w:pPr>
      <w:r w:rsidRPr="00670221">
        <w:rPr>
          <w:lang w:val="en-US"/>
        </w:rPr>
        <w:t xml:space="preserve">As discussed in Section 4.2, ASTM International is responsible for certifying fuel production pathways to meet industry standards for blending with fossil kerosene. Seven </w:t>
      </w:r>
      <w:r w:rsidR="002861FE" w:rsidRPr="00670221">
        <w:rPr>
          <w:lang w:val="en-US"/>
        </w:rPr>
        <w:t>technologies</w:t>
      </w:r>
      <w:r w:rsidRPr="00670221">
        <w:rPr>
          <w:lang w:val="en-US"/>
        </w:rPr>
        <w:t xml:space="preserve"> are currently certified under ASTM D7566, allowing their use in the EU (European Union Aviation Safety Agency, 2022; Federal Aviation Administration, 2020). Although these </w:t>
      </w:r>
      <w:r w:rsidRPr="00670221">
        <w:rPr>
          <w:lang w:val="en-US"/>
        </w:rPr>
        <w:lastRenderedPageBreak/>
        <w:t xml:space="preserve">processes may differ slightly, they typically fall under HEFA, ATJ, and FT pathways, as shown in Figure 4.2. For example, Synthesized </w:t>
      </w:r>
      <w:proofErr w:type="spellStart"/>
      <w:r w:rsidRPr="00670221">
        <w:rPr>
          <w:lang w:val="en-US"/>
        </w:rPr>
        <w:t>Isoparaffins</w:t>
      </w:r>
      <w:proofErr w:type="spellEnd"/>
      <w:r w:rsidRPr="00670221">
        <w:rPr>
          <w:lang w:val="en-US"/>
        </w:rPr>
        <w:t xml:space="preserve"> (SIP) ferment sugars into hydrocarbons, then processed similarly to HEFA. The main difference is that SIP synthesizes hydrocarbon chains, whereas HEFA uses feedstock already containing longer hydrocarbons. Methanol-based pathways remain uncertified (</w:t>
      </w:r>
      <w:proofErr w:type="spellStart"/>
      <w:r w:rsidRPr="00670221">
        <w:rPr>
          <w:lang w:val="en-US"/>
        </w:rPr>
        <w:t>Eyberg</w:t>
      </w:r>
      <w:proofErr w:type="spellEnd"/>
      <w:r w:rsidRPr="00670221">
        <w:rPr>
          <w:lang w:val="en-US"/>
        </w:rPr>
        <w:t xml:space="preserve"> et al., 2024</w:t>
      </w:r>
      <w:r w:rsidR="00EF46B3" w:rsidRPr="00670221">
        <w:rPr>
          <w:lang w:val="en-US"/>
        </w:rPr>
        <w:t>; Grimme, 2024</w:t>
      </w:r>
      <w:r w:rsidRPr="00670221">
        <w:rPr>
          <w:lang w:val="en-US"/>
        </w:rPr>
        <w:t xml:space="preserve">). Once a SAF pathway is certified, it can be blended with conventional jet fuel for commercial use. </w:t>
      </w:r>
      <w:proofErr w:type="spellStart"/>
      <w:r w:rsidRPr="00670221">
        <w:rPr>
          <w:lang w:val="en-US"/>
        </w:rPr>
        <w:t>PtL</w:t>
      </w:r>
      <w:proofErr w:type="spellEnd"/>
      <w:r w:rsidRPr="00670221">
        <w:rPr>
          <w:lang w:val="en-US"/>
        </w:rPr>
        <w:t xml:space="preserve"> fuels produced via FT are already approved, with electricity production and </w:t>
      </w:r>
      <w:r w:rsidR="009A55E7" w:rsidRPr="00670221">
        <w:rPr>
          <w:lang w:val="en-US"/>
        </w:rPr>
        <w:t xml:space="preserve">CO₂ </w:t>
      </w:r>
      <w:r w:rsidRPr="00670221">
        <w:rPr>
          <w:lang w:val="en-US"/>
        </w:rPr>
        <w:t>sourcing as key factors (European Union Aviation Safety Agency, 2022).</w:t>
      </w:r>
    </w:p>
    <w:p w14:paraId="43CDDBDD" w14:textId="77777777" w:rsidR="00387EB6" w:rsidRPr="00670221" w:rsidRDefault="00387EB6" w:rsidP="001D7311">
      <w:pPr>
        <w:rPr>
          <w:lang w:val="en-US"/>
        </w:rPr>
      </w:pPr>
    </w:p>
    <w:p w14:paraId="451F6FA5" w14:textId="512A697E" w:rsidR="000827F6" w:rsidRPr="00670221" w:rsidRDefault="001E2907" w:rsidP="000827F6">
      <w:pPr>
        <w:pStyle w:val="Heading3"/>
      </w:pPr>
      <w:bookmarkStart w:id="59" w:name="_Toc184403439"/>
      <w:r w:rsidRPr="00670221">
        <w:t xml:space="preserve">European </w:t>
      </w:r>
      <w:r w:rsidR="009D4E94" w:rsidRPr="00670221">
        <w:t>Climate Law</w:t>
      </w:r>
      <w:bookmarkEnd w:id="59"/>
    </w:p>
    <w:p w14:paraId="361EF098" w14:textId="77777777" w:rsidR="000827F6" w:rsidRPr="00670221" w:rsidRDefault="00F4280F" w:rsidP="00D96C5F">
      <w:pPr>
        <w:rPr>
          <w:lang w:val="en-US"/>
        </w:rPr>
      </w:pPr>
      <w:r w:rsidRPr="00670221">
        <w:rPr>
          <w:lang w:val="en-US"/>
        </w:rPr>
        <w:t xml:space="preserve">The EU’s climate policy also stems from its commitment to the Paris Agreement. </w:t>
      </w:r>
      <w:r w:rsidR="00D96C5F" w:rsidRPr="00670221">
        <w:rPr>
          <w:lang w:val="en-US"/>
        </w:rPr>
        <w:t>At the constitutional level, the European Climate Law, which came into force in 2021, serves as a legal foundation for the EU’s climate targets. It mandates that the EU achieve a balance between greenhouse gas emissions and removals by 2050. This law also establishes an ambitious goal of reducing net greenhouse gas emissions by at least 55% by 2030 compared to 1990 levels (Cifuentes-</w:t>
      </w:r>
      <w:proofErr w:type="spellStart"/>
      <w:r w:rsidR="00D96C5F" w:rsidRPr="00670221">
        <w:rPr>
          <w:lang w:val="en-US"/>
        </w:rPr>
        <w:t>Faura</w:t>
      </w:r>
      <w:proofErr w:type="spellEnd"/>
      <w:r w:rsidR="00D96C5F" w:rsidRPr="00670221">
        <w:rPr>
          <w:lang w:val="en-US"/>
        </w:rPr>
        <w:t>, 2022). The Climate Law functions as a foundational policy guiding all subsequent EU climate initiatives.</w:t>
      </w:r>
    </w:p>
    <w:p w14:paraId="274AF0AD" w14:textId="2B4AE176" w:rsidR="000827F6" w:rsidRPr="00670221" w:rsidRDefault="00EA5E36" w:rsidP="000827F6">
      <w:pPr>
        <w:pStyle w:val="Heading4"/>
        <w:rPr>
          <w:lang w:val="en-US"/>
        </w:rPr>
      </w:pPr>
      <w:r w:rsidRPr="00670221">
        <w:rPr>
          <w:lang w:val="en-US"/>
        </w:rPr>
        <w:t>EGD</w:t>
      </w:r>
      <w:r w:rsidR="000827F6" w:rsidRPr="00670221">
        <w:rPr>
          <w:lang w:val="en-US"/>
        </w:rPr>
        <w:t xml:space="preserve"> and </w:t>
      </w:r>
      <w:proofErr w:type="gramStart"/>
      <w:r w:rsidR="000827F6" w:rsidRPr="00670221">
        <w:rPr>
          <w:lang w:val="en-US"/>
        </w:rPr>
        <w:t>Fit</w:t>
      </w:r>
      <w:proofErr w:type="gramEnd"/>
      <w:r w:rsidR="000827F6" w:rsidRPr="00670221">
        <w:rPr>
          <w:lang w:val="en-US"/>
        </w:rPr>
        <w:t xml:space="preserve"> for 55 Package</w:t>
      </w:r>
    </w:p>
    <w:p w14:paraId="4DED7380" w14:textId="71BD6C7D" w:rsidR="00EA5E36" w:rsidRPr="00670221" w:rsidRDefault="00D96C5F" w:rsidP="00EA5E36">
      <w:pPr>
        <w:rPr>
          <w:lang w:val="en-US"/>
        </w:rPr>
      </w:pPr>
      <w:r w:rsidRPr="00670221">
        <w:rPr>
          <w:lang w:val="en-US"/>
        </w:rPr>
        <w:t>One of the key initiatives built upon this law is the European Green Deal (EGD)</w:t>
      </w:r>
      <w:r w:rsidR="00206FD9" w:rsidRPr="00670221">
        <w:rPr>
          <w:lang w:val="en-US"/>
        </w:rPr>
        <w:t xml:space="preserve">. </w:t>
      </w:r>
      <w:r w:rsidRPr="00670221">
        <w:rPr>
          <w:lang w:val="en-US"/>
        </w:rPr>
        <w:t>The EGD is a broad policy framework rather than a law, setting the agenda for revising existing regulations and creating new laws to drive climate action (</w:t>
      </w:r>
      <w:r w:rsidR="00E663C1" w:rsidRPr="00670221">
        <w:rPr>
          <w:lang w:val="en-US"/>
        </w:rPr>
        <w:t xml:space="preserve">European </w:t>
      </w:r>
      <w:r w:rsidR="00D167FD" w:rsidRPr="00670221">
        <w:rPr>
          <w:lang w:val="en-US"/>
        </w:rPr>
        <w:t>C</w:t>
      </w:r>
      <w:r w:rsidR="00E663C1" w:rsidRPr="00670221">
        <w:rPr>
          <w:lang w:val="en-US"/>
        </w:rPr>
        <w:t xml:space="preserve">ommission, 2019; </w:t>
      </w:r>
      <w:r w:rsidR="00D167FD" w:rsidRPr="00670221">
        <w:rPr>
          <w:lang w:val="en-US"/>
        </w:rPr>
        <w:t xml:space="preserve">European Commission, 2021). </w:t>
      </w:r>
      <w:r w:rsidRPr="00670221">
        <w:rPr>
          <w:lang w:val="en-US"/>
        </w:rPr>
        <w:t xml:space="preserve">Under the Green Deal, specific rules targeting carbon removal have emerged. </w:t>
      </w:r>
      <w:r w:rsidR="001E14C1" w:rsidRPr="00670221">
        <w:rPr>
          <w:lang w:val="en-US"/>
        </w:rPr>
        <w:t xml:space="preserve">The collective of these laws is known as Fit for 55. This legislative package </w:t>
      </w:r>
      <w:r w:rsidR="00F221FB" w:rsidRPr="00670221">
        <w:rPr>
          <w:lang w:val="en-US"/>
        </w:rPr>
        <w:t xml:space="preserve">provides the specific laws and regulations needed to meet the 2030 reduction target of 55% set by the European climate Law, and thus forms the Green Deal strategy. </w:t>
      </w:r>
      <w:r w:rsidRPr="00670221">
        <w:rPr>
          <w:lang w:val="en-US"/>
        </w:rPr>
        <w:t>These rules emphasize directing investments toward sustainable projects to meet the net-zero targets.</w:t>
      </w:r>
      <w:r w:rsidR="001E14C1" w:rsidRPr="00670221">
        <w:rPr>
          <w:lang w:val="en-US"/>
        </w:rPr>
        <w:t xml:space="preserve"> </w:t>
      </w:r>
      <w:r w:rsidRPr="00670221">
        <w:rPr>
          <w:lang w:val="en-US"/>
        </w:rPr>
        <w:t xml:space="preserve">The EU has created a classification system, known as the “EU taxonomy,” to clearly define which economic activities are environmentally sustainable. This taxonomy helps guide investments by companies, investors, and policymakers. One of the six objectives of the EU taxonomy is transitioning to a circular economy, where carbon capture and </w:t>
      </w:r>
      <w:r w:rsidR="004A0212" w:rsidRPr="00670221">
        <w:rPr>
          <w:lang w:val="en-US"/>
        </w:rPr>
        <w:t>DAC</w:t>
      </w:r>
      <w:r w:rsidR="00D167FD" w:rsidRPr="00670221">
        <w:rPr>
          <w:lang w:val="en-US"/>
        </w:rPr>
        <w:t xml:space="preserve"> </w:t>
      </w:r>
      <w:r w:rsidRPr="00670221">
        <w:rPr>
          <w:lang w:val="en-US"/>
        </w:rPr>
        <w:t>technologies play a crucial role in achieving sustainability goals (European Commission, 2023).</w:t>
      </w:r>
    </w:p>
    <w:p w14:paraId="6CDB16AA" w14:textId="77777777" w:rsidR="00EA5E36" w:rsidRPr="00670221" w:rsidRDefault="007C1A23" w:rsidP="00EA5E36">
      <w:pPr>
        <w:pStyle w:val="Heading4"/>
        <w:rPr>
          <w:lang w:val="en-US"/>
        </w:rPr>
      </w:pPr>
      <w:r w:rsidRPr="00670221">
        <w:rPr>
          <w:lang w:val="en-US"/>
        </w:rPr>
        <w:t xml:space="preserve">EU </w:t>
      </w:r>
      <w:r w:rsidR="00EA5E36" w:rsidRPr="00670221">
        <w:rPr>
          <w:lang w:val="en-US"/>
        </w:rPr>
        <w:t>ETS</w:t>
      </w:r>
    </w:p>
    <w:p w14:paraId="2C999345" w14:textId="77777777" w:rsidR="008740DB" w:rsidRPr="00670221" w:rsidRDefault="008740DB" w:rsidP="00D20BD8">
      <w:pPr>
        <w:rPr>
          <w:lang w:val="en-US"/>
        </w:rPr>
      </w:pPr>
      <w:r w:rsidRPr="00670221">
        <w:rPr>
          <w:lang w:val="en-US"/>
        </w:rPr>
        <w:t>The EU Emissions Trading System (ETS) is a key element of the European Green Deal and Fit for 55 initiatives, aimed at reducing greenhouse gas emissions. It imposes a cap on total emissions from industries like aviation and power generation, which decreases over time to drive emission reductions. Companies trade emission allowances, creating a market-driven incentive to lower emissions. Revenue from allowance auctions supports the EU Innovation Fund, currently valued at €22 billion (European Commission, 2023). Airlines initially received free allowances, but full auctioning will begin in 2027, with an annual linear reduction of 4.2% (European Commission, 2022; Grimme, 2023).</w:t>
      </w:r>
    </w:p>
    <w:p w14:paraId="5B0E3840" w14:textId="6F9B5049" w:rsidR="000827F6" w:rsidRPr="00670221" w:rsidRDefault="000827F6" w:rsidP="000827F6">
      <w:pPr>
        <w:pStyle w:val="Heading4"/>
        <w:rPr>
          <w:lang w:val="en-US"/>
        </w:rPr>
      </w:pPr>
      <w:r w:rsidRPr="00670221">
        <w:rPr>
          <w:lang w:val="en-US"/>
        </w:rPr>
        <w:t xml:space="preserve">RED </w:t>
      </w:r>
      <w:r w:rsidR="00A10612" w:rsidRPr="00670221">
        <w:rPr>
          <w:lang w:val="en-US"/>
        </w:rPr>
        <w:t>II/III</w:t>
      </w:r>
    </w:p>
    <w:p w14:paraId="1B96D537" w14:textId="1500E6E5" w:rsidR="007E53BF" w:rsidRPr="00670221" w:rsidRDefault="007E53BF" w:rsidP="008740DB">
      <w:pPr>
        <w:rPr>
          <w:lang w:val="en-US"/>
        </w:rPr>
      </w:pPr>
      <w:r w:rsidRPr="00670221">
        <w:rPr>
          <w:lang w:val="en-US"/>
        </w:rPr>
        <w:t xml:space="preserve">The Renewable Energy Directive (RED III) serves as the EU’s primary framework for advancing renewable energy adoption across sectors, aiming for a 42.5% renewable energy share by </w:t>
      </w:r>
      <w:r w:rsidRPr="00670221">
        <w:rPr>
          <w:lang w:val="en-US"/>
        </w:rPr>
        <w:lastRenderedPageBreak/>
        <w:t>2030. Within the transport sector, Member States are required to reduce greenhouse gas (GHG) intensity by 14.5% or achieve a 29% renewable share by 2030 (</w:t>
      </w:r>
      <w:proofErr w:type="spellStart"/>
      <w:r w:rsidRPr="00670221">
        <w:rPr>
          <w:lang w:val="en-US"/>
        </w:rPr>
        <w:t>Erriu</w:t>
      </w:r>
      <w:proofErr w:type="spellEnd"/>
      <w:r w:rsidRPr="00670221">
        <w:rPr>
          <w:lang w:val="en-US"/>
        </w:rPr>
        <w:t xml:space="preserve"> et al., 2024). To meet these targets, sustainable aviation fuels and Renewable Fuels of Non-Biological Origin (RFNBOs) play a key role in decarbonizing transportation (</w:t>
      </w:r>
      <w:proofErr w:type="spellStart"/>
      <w:r w:rsidRPr="00670221">
        <w:rPr>
          <w:lang w:val="en-US"/>
        </w:rPr>
        <w:t>Erriu</w:t>
      </w:r>
      <w:proofErr w:type="spellEnd"/>
      <w:r w:rsidRPr="00670221">
        <w:rPr>
          <w:lang w:val="en-US"/>
        </w:rPr>
        <w:t xml:space="preserve"> et al., 2024).</w:t>
      </w:r>
    </w:p>
    <w:p w14:paraId="0B8F7E32" w14:textId="246452CE" w:rsidR="007E53BF" w:rsidRPr="00670221" w:rsidRDefault="007E53BF" w:rsidP="007E53BF">
      <w:pPr>
        <w:pStyle w:val="Heading4"/>
        <w:rPr>
          <w:lang w:val="en-US"/>
        </w:rPr>
      </w:pPr>
      <w:r w:rsidRPr="00670221">
        <w:rPr>
          <w:lang w:val="en-US"/>
        </w:rPr>
        <w:t>The Delegated Acts on RFNBOs</w:t>
      </w:r>
    </w:p>
    <w:p w14:paraId="09ED3F4A" w14:textId="2177B432" w:rsidR="00353105" w:rsidRPr="00670221" w:rsidRDefault="001542EE" w:rsidP="001542EE">
      <w:pPr>
        <w:rPr>
          <w:lang w:val="en-US"/>
        </w:rPr>
      </w:pPr>
      <w:r w:rsidRPr="00670221">
        <w:rPr>
          <w:lang w:val="en-US"/>
        </w:rPr>
        <w:t>SAFs under RED III must come from either advanced biofuels or RFNBOs</w:t>
      </w:r>
      <w:r w:rsidR="00B31319">
        <w:rPr>
          <w:lang w:val="en-US"/>
        </w:rPr>
        <w:t xml:space="preserve"> (</w:t>
      </w:r>
      <w:r w:rsidR="00876632" w:rsidRPr="00876632">
        <w:t>Renewable Fuels of Non-Biological Origin</w:t>
      </w:r>
      <w:r w:rsidR="00876632">
        <w:t>)</w:t>
      </w:r>
      <w:r w:rsidRPr="00670221">
        <w:rPr>
          <w:lang w:val="en-US"/>
        </w:rPr>
        <w:t>, ensuring they avoid competition with food production and do not harm biodiversity (</w:t>
      </w:r>
      <w:proofErr w:type="spellStart"/>
      <w:r w:rsidRPr="00670221">
        <w:rPr>
          <w:lang w:val="en-US"/>
        </w:rPr>
        <w:t>Erriu</w:t>
      </w:r>
      <w:proofErr w:type="spellEnd"/>
      <w:r w:rsidRPr="00670221">
        <w:rPr>
          <w:lang w:val="en-US"/>
        </w:rPr>
        <w:t xml:space="preserve"> et al., 2024). The Delegated Acts on RFNBOs specify that RFNBOs, including sustainable aviation fuels (</w:t>
      </w:r>
      <w:proofErr w:type="spellStart"/>
      <w:r w:rsidRPr="00670221">
        <w:rPr>
          <w:lang w:val="en-US"/>
        </w:rPr>
        <w:t>eSAFs</w:t>
      </w:r>
      <w:proofErr w:type="spellEnd"/>
      <w:r w:rsidRPr="00670221">
        <w:rPr>
          <w:lang w:val="en-US"/>
        </w:rPr>
        <w:t xml:space="preserve">) derived from CO₂ and low-carbon energy, must either achieve a minimum of 70% CO₂ reduction compared to fossil fuels or source their energy from a renewable grid with at least 90% renewable content (European Commission, 2023). Nuclear energy, while not classified as renewable, is permissible for RFNBO production, as it meets the 70% CO₂ reduction requirement. Additional criteria mandate power-purchase agreements (PPAs) with renewable energy providers unless the 90% renewable grid threshold is met. From 2030, hydrogen production must also be temporally and geographically aligned with renewable electricity generation. Additionally, fossil-derived CO₂ is counted as zero-emissions until 2036 for power stations and until 2041 for other industrial sources under the EU ETS, after which only CO₂ from direct air capture or biomass is eligible (Martin et al., 2024; </w:t>
      </w:r>
      <w:proofErr w:type="spellStart"/>
      <w:r w:rsidRPr="00670221">
        <w:rPr>
          <w:lang w:val="en-US"/>
        </w:rPr>
        <w:t>Mutrelle</w:t>
      </w:r>
      <w:proofErr w:type="spellEnd"/>
      <w:r w:rsidRPr="00670221">
        <w:rPr>
          <w:lang w:val="en-US"/>
        </w:rPr>
        <w:t xml:space="preserve">, 2024). </w:t>
      </w:r>
      <w:r w:rsidR="007E53BF" w:rsidRPr="00670221">
        <w:rPr>
          <w:lang w:val="en-US"/>
        </w:rPr>
        <w:t>A</w:t>
      </w:r>
      <w:r w:rsidR="00AB5535">
        <w:rPr>
          <w:lang w:val="en-US"/>
        </w:rPr>
        <w:t xml:space="preserve"> clear overview </w:t>
      </w:r>
      <w:r w:rsidR="00BE5B12" w:rsidRPr="00670221">
        <w:rPr>
          <w:lang w:val="en-US"/>
        </w:rPr>
        <w:t xml:space="preserve">of the qualification </w:t>
      </w:r>
      <w:r w:rsidR="004218F6">
        <w:rPr>
          <w:lang w:val="en-US"/>
        </w:rPr>
        <w:t xml:space="preserve">directly presented by the RSB </w:t>
      </w:r>
      <w:r w:rsidR="00BE5B12" w:rsidRPr="00670221">
        <w:rPr>
          <w:lang w:val="en-US"/>
        </w:rPr>
        <w:t xml:space="preserve">is </w:t>
      </w:r>
      <w:r w:rsidR="004218F6">
        <w:rPr>
          <w:lang w:val="en-US"/>
        </w:rPr>
        <w:t>given</w:t>
      </w:r>
      <w:r w:rsidR="007E53BF" w:rsidRPr="00670221">
        <w:rPr>
          <w:lang w:val="en-US"/>
        </w:rPr>
        <w:t xml:space="preserve"> below</w:t>
      </w:r>
      <w:r w:rsidR="00BE5B12" w:rsidRPr="00670221">
        <w:rPr>
          <w:lang w:val="en-US"/>
        </w:rPr>
        <w:t>:</w:t>
      </w:r>
    </w:p>
    <w:p w14:paraId="6ED830DD" w14:textId="77777777" w:rsidR="0059576D" w:rsidRPr="00670221" w:rsidRDefault="00BE5B12" w:rsidP="0059576D">
      <w:pPr>
        <w:keepNext/>
        <w:rPr>
          <w:lang w:val="en-US"/>
        </w:rPr>
      </w:pPr>
      <w:r w:rsidRPr="00670221">
        <w:rPr>
          <w:rFonts w:ascii="Open Sans" w:hAnsi="Open Sans" w:cs="Open Sans"/>
          <w:color w:val="000000"/>
          <w:sz w:val="22"/>
          <w:szCs w:val="22"/>
          <w:bdr w:val="none" w:sz="0" w:space="0" w:color="auto" w:frame="1"/>
          <w:lang w:val="en-US"/>
        </w:rPr>
        <w:fldChar w:fldCharType="begin"/>
      </w:r>
      <w:r w:rsidRPr="00670221">
        <w:rPr>
          <w:rFonts w:ascii="Open Sans" w:hAnsi="Open Sans" w:cs="Open Sans"/>
          <w:color w:val="000000"/>
          <w:sz w:val="22"/>
          <w:szCs w:val="22"/>
          <w:bdr w:val="none" w:sz="0" w:space="0" w:color="auto" w:frame="1"/>
          <w:lang w:val="en-US"/>
        </w:rPr>
        <w:instrText xml:space="preserve"> INCLUDEPICTURE "https://lh7-qw.googleusercontent.com/docsz/AD_4nXfnfyndgyijyvTi2cO9VcddhpU7_a6rYe7c5NqrciQcA7xRhqtctQIgQdr1sYCKosUHR3fsjLj3AkXBQC8Hf_or83rceVbChoPr3UZ0qwlOcnLWNp_KvnrUjXNHvUQqIP4zT3NP4EN8JETSqqFpy-rHOVfF?key=nognvAQonXwp9p-BDGrDBQ" \* MERGEFORMATINET </w:instrText>
      </w:r>
      <w:r w:rsidRPr="00670221">
        <w:rPr>
          <w:rFonts w:ascii="Open Sans" w:hAnsi="Open Sans" w:cs="Open Sans"/>
          <w:color w:val="000000"/>
          <w:sz w:val="22"/>
          <w:szCs w:val="22"/>
          <w:bdr w:val="none" w:sz="0" w:space="0" w:color="auto" w:frame="1"/>
          <w:lang w:val="en-US"/>
        </w:rPr>
        <w:fldChar w:fldCharType="separate"/>
      </w:r>
      <w:r w:rsidRPr="00670221">
        <w:rPr>
          <w:rFonts w:ascii="Open Sans" w:hAnsi="Open Sans" w:cs="Open Sans"/>
          <w:noProof/>
          <w:color w:val="000000"/>
          <w:sz w:val="22"/>
          <w:szCs w:val="22"/>
          <w:bdr w:val="none" w:sz="0" w:space="0" w:color="auto" w:frame="1"/>
          <w:lang w:val="en-US"/>
        </w:rPr>
        <w:drawing>
          <wp:inline distT="0" distB="0" distL="0" distR="0" wp14:anchorId="20EC1563" wp14:editId="7F48688F">
            <wp:extent cx="5677469" cy="3155756"/>
            <wp:effectExtent l="0" t="0" r="0" b="0"/>
            <wp:docPr id="446807843" name="Picture 11" descr="A diagram of electricity used in production of electrofun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07843" name="Picture 11" descr="A diagram of electricity used in production of electrofunction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1922" cy="3197140"/>
                    </a:xfrm>
                    <a:prstGeom prst="rect">
                      <a:avLst/>
                    </a:prstGeom>
                    <a:noFill/>
                    <a:ln>
                      <a:noFill/>
                    </a:ln>
                  </pic:spPr>
                </pic:pic>
              </a:graphicData>
            </a:graphic>
          </wp:inline>
        </w:drawing>
      </w:r>
      <w:r w:rsidRPr="00670221">
        <w:rPr>
          <w:rFonts w:ascii="Open Sans" w:hAnsi="Open Sans" w:cs="Open Sans"/>
          <w:color w:val="000000"/>
          <w:sz w:val="22"/>
          <w:szCs w:val="22"/>
          <w:bdr w:val="none" w:sz="0" w:space="0" w:color="auto" w:frame="1"/>
          <w:lang w:val="en-US"/>
        </w:rPr>
        <w:fldChar w:fldCharType="end"/>
      </w:r>
    </w:p>
    <w:p w14:paraId="7102C9E0" w14:textId="0D0A33F8" w:rsidR="001B2424" w:rsidRPr="00670221" w:rsidRDefault="0059576D" w:rsidP="00183910">
      <w:pPr>
        <w:pStyle w:val="Caption"/>
        <w:rPr>
          <w:lang w:val="en-US"/>
        </w:rPr>
      </w:pPr>
      <w:bookmarkStart w:id="60" w:name="_Toc184403550"/>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3</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4</w:t>
      </w:r>
      <w:r w:rsidR="002A3EA2" w:rsidRPr="00670221">
        <w:rPr>
          <w:lang w:val="en-US"/>
        </w:rPr>
        <w:fldChar w:fldCharType="end"/>
      </w:r>
      <w:r w:rsidRPr="00670221">
        <w:rPr>
          <w:lang w:val="en-US"/>
        </w:rPr>
        <w:t xml:space="preserve">: </w:t>
      </w:r>
      <w:r w:rsidR="005D30C9" w:rsidRPr="00670221">
        <w:rPr>
          <w:lang w:val="en-US"/>
        </w:rPr>
        <w:t>D</w:t>
      </w:r>
      <w:r w:rsidRPr="00670221">
        <w:rPr>
          <w:lang w:val="en-US"/>
        </w:rPr>
        <w:t>iagram representing renewable electricity and the criteria for RFNBOs (</w:t>
      </w:r>
      <w:r w:rsidR="004218F6">
        <w:rPr>
          <w:lang w:val="en-US"/>
        </w:rPr>
        <w:t xml:space="preserve">Appendix F; </w:t>
      </w:r>
      <w:r w:rsidRPr="00670221">
        <w:rPr>
          <w:lang w:val="en-US"/>
        </w:rPr>
        <w:t>Roundtable on Sustainable Biomaterials, 2024)</w:t>
      </w:r>
      <w:bookmarkEnd w:id="60"/>
    </w:p>
    <w:p w14:paraId="601B9605" w14:textId="77777777" w:rsidR="00B2070C" w:rsidRPr="00670221" w:rsidRDefault="00B2070C" w:rsidP="00B2070C">
      <w:pPr>
        <w:pStyle w:val="Heading4"/>
        <w:rPr>
          <w:lang w:val="en-US"/>
        </w:rPr>
      </w:pPr>
      <w:proofErr w:type="spellStart"/>
      <w:r w:rsidRPr="00670221">
        <w:rPr>
          <w:lang w:val="en-US"/>
        </w:rPr>
        <w:t>RefuelEU</w:t>
      </w:r>
      <w:proofErr w:type="spellEnd"/>
      <w:r w:rsidRPr="00670221">
        <w:rPr>
          <w:lang w:val="en-US"/>
        </w:rPr>
        <w:t xml:space="preserve"> Aviation</w:t>
      </w:r>
    </w:p>
    <w:p w14:paraId="332956F1" w14:textId="6907AAE3" w:rsidR="0023350F" w:rsidRPr="00670221" w:rsidRDefault="0023350F" w:rsidP="0023350F">
      <w:pPr>
        <w:rPr>
          <w:lang w:val="en-US"/>
        </w:rPr>
      </w:pPr>
      <w:r w:rsidRPr="00670221">
        <w:rPr>
          <w:rFonts w:cstheme="minorHAnsi"/>
          <w:lang w:val="en-US"/>
        </w:rPr>
        <w:t>The European Commission’s “</w:t>
      </w:r>
      <w:proofErr w:type="spellStart"/>
      <w:r w:rsidRPr="00670221">
        <w:rPr>
          <w:rFonts w:cstheme="minorHAnsi"/>
          <w:lang w:val="en-US"/>
        </w:rPr>
        <w:t>ReFuelEU</w:t>
      </w:r>
      <w:proofErr w:type="spellEnd"/>
      <w:r w:rsidRPr="00670221">
        <w:rPr>
          <w:rFonts w:cstheme="minorHAnsi"/>
          <w:lang w:val="en-US"/>
        </w:rPr>
        <w:t xml:space="preserve"> Aviation” initiative aims to boost the supply and demand for SAFs in Europe by introducing mandates (</w:t>
      </w:r>
      <w:r w:rsidRPr="00670221">
        <w:rPr>
          <w:lang w:val="en-US"/>
        </w:rPr>
        <w:t>Council of the EU, 2023)</w:t>
      </w:r>
      <w:r w:rsidRPr="00670221">
        <w:rPr>
          <w:rFonts w:cstheme="minorHAnsi"/>
          <w:lang w:val="en-US"/>
        </w:rPr>
        <w:t xml:space="preserve">. It includes measures to ensure that a certain percentage of fuel used by airlines is sustainable, with this percentage increasing over time. Failing to comply with obligations results in an administrative fine being twice as high as the difference between the yearly average price of conventional </w:t>
      </w:r>
      <w:r w:rsidRPr="00670221">
        <w:rPr>
          <w:rFonts w:cstheme="minorHAnsi"/>
          <w:lang w:val="en-US"/>
        </w:rPr>
        <w:lastRenderedPageBreak/>
        <w:t xml:space="preserve">aviation fuel and sustainable aviation fuel per ton of the quantity of aviation fuels not complying with the minimum share. Total current European Union SAF targets are shown in the upper row of table </w:t>
      </w:r>
      <w:r w:rsidR="00B53567" w:rsidRPr="00670221">
        <w:rPr>
          <w:rFonts w:cstheme="minorHAnsi"/>
          <w:lang w:val="en-US"/>
        </w:rPr>
        <w:t>3</w:t>
      </w:r>
      <w:r w:rsidRPr="00670221">
        <w:rPr>
          <w:rFonts w:cstheme="minorHAnsi"/>
          <w:lang w:val="en-US"/>
        </w:rPr>
        <w:t>.</w:t>
      </w:r>
      <w:r w:rsidR="007A112F" w:rsidRPr="00670221">
        <w:rPr>
          <w:rFonts w:cstheme="minorHAnsi"/>
          <w:lang w:val="en-US"/>
        </w:rPr>
        <w:t>2</w:t>
      </w:r>
      <w:r w:rsidRPr="00670221">
        <w:rPr>
          <w:rFonts w:cstheme="minorHAnsi"/>
          <w:lang w:val="en-US"/>
        </w:rPr>
        <w:t xml:space="preserve"> and set to increase up to 70% in 2050. </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23350F" w:rsidRPr="00670221" w14:paraId="4F69E789" w14:textId="77777777" w:rsidTr="00170725">
        <w:tc>
          <w:tcPr>
            <w:tcW w:w="1127" w:type="dxa"/>
            <w:tcBorders>
              <w:top w:val="nil"/>
              <w:left w:val="nil"/>
              <w:bottom w:val="single" w:sz="4" w:space="0" w:color="auto"/>
              <w:right w:val="single" w:sz="4" w:space="0" w:color="auto"/>
            </w:tcBorders>
          </w:tcPr>
          <w:p w14:paraId="53F93B63" w14:textId="77777777" w:rsidR="0023350F" w:rsidRPr="00670221" w:rsidRDefault="0023350F" w:rsidP="00170725">
            <w:pPr>
              <w:rPr>
                <w:rFonts w:cstheme="minorHAnsi"/>
                <w:sz w:val="20"/>
                <w:szCs w:val="20"/>
                <w:lang w:val="en-US"/>
              </w:rPr>
            </w:pPr>
          </w:p>
        </w:tc>
        <w:tc>
          <w:tcPr>
            <w:tcW w:w="1127" w:type="dxa"/>
            <w:tcBorders>
              <w:left w:val="single" w:sz="4" w:space="0" w:color="auto"/>
            </w:tcBorders>
          </w:tcPr>
          <w:p w14:paraId="1B681BA9" w14:textId="77777777" w:rsidR="0023350F" w:rsidRPr="00670221" w:rsidRDefault="0023350F" w:rsidP="00170725">
            <w:pPr>
              <w:jc w:val="center"/>
              <w:rPr>
                <w:rFonts w:cstheme="minorHAnsi"/>
                <w:sz w:val="20"/>
                <w:szCs w:val="20"/>
                <w:lang w:val="en-US"/>
              </w:rPr>
            </w:pPr>
            <w:r w:rsidRPr="00670221">
              <w:rPr>
                <w:rFonts w:cstheme="minorHAnsi"/>
                <w:b/>
                <w:bCs/>
                <w:color w:val="000000"/>
                <w:sz w:val="20"/>
                <w:szCs w:val="20"/>
                <w:lang w:val="en-US"/>
              </w:rPr>
              <w:t>2025</w:t>
            </w:r>
          </w:p>
        </w:tc>
        <w:tc>
          <w:tcPr>
            <w:tcW w:w="1127" w:type="dxa"/>
          </w:tcPr>
          <w:p w14:paraId="03F9DBF2" w14:textId="77777777" w:rsidR="0023350F" w:rsidRPr="00670221" w:rsidRDefault="0023350F" w:rsidP="00170725">
            <w:pPr>
              <w:jc w:val="center"/>
              <w:rPr>
                <w:rFonts w:cstheme="minorHAnsi"/>
                <w:sz w:val="20"/>
                <w:szCs w:val="20"/>
                <w:lang w:val="en-US"/>
              </w:rPr>
            </w:pPr>
            <w:r w:rsidRPr="00670221">
              <w:rPr>
                <w:rFonts w:cstheme="minorHAnsi"/>
                <w:b/>
                <w:bCs/>
                <w:color w:val="000000"/>
                <w:sz w:val="20"/>
                <w:szCs w:val="20"/>
                <w:lang w:val="en-US"/>
              </w:rPr>
              <w:t>2030</w:t>
            </w:r>
          </w:p>
        </w:tc>
        <w:tc>
          <w:tcPr>
            <w:tcW w:w="1127" w:type="dxa"/>
          </w:tcPr>
          <w:p w14:paraId="23777336" w14:textId="77777777" w:rsidR="0023350F" w:rsidRPr="00670221" w:rsidRDefault="0023350F" w:rsidP="00170725">
            <w:pPr>
              <w:jc w:val="center"/>
              <w:rPr>
                <w:rFonts w:cstheme="minorHAnsi"/>
                <w:sz w:val="20"/>
                <w:szCs w:val="20"/>
                <w:lang w:val="en-US"/>
              </w:rPr>
            </w:pPr>
            <w:r w:rsidRPr="00670221">
              <w:rPr>
                <w:rFonts w:cstheme="minorHAnsi"/>
                <w:b/>
                <w:bCs/>
                <w:color w:val="000000"/>
                <w:sz w:val="20"/>
                <w:szCs w:val="20"/>
                <w:lang w:val="en-US"/>
              </w:rPr>
              <w:t>2032</w:t>
            </w:r>
          </w:p>
        </w:tc>
        <w:tc>
          <w:tcPr>
            <w:tcW w:w="1127" w:type="dxa"/>
          </w:tcPr>
          <w:p w14:paraId="388B9D1C" w14:textId="77777777" w:rsidR="0023350F" w:rsidRPr="00670221" w:rsidRDefault="0023350F" w:rsidP="00170725">
            <w:pPr>
              <w:jc w:val="center"/>
              <w:rPr>
                <w:rFonts w:cstheme="minorHAnsi"/>
                <w:sz w:val="20"/>
                <w:szCs w:val="20"/>
                <w:lang w:val="en-US"/>
              </w:rPr>
            </w:pPr>
            <w:r w:rsidRPr="00670221">
              <w:rPr>
                <w:rFonts w:cstheme="minorHAnsi"/>
                <w:b/>
                <w:bCs/>
                <w:color w:val="000000"/>
                <w:sz w:val="20"/>
                <w:szCs w:val="20"/>
                <w:lang w:val="en-US"/>
              </w:rPr>
              <w:t>2035</w:t>
            </w:r>
          </w:p>
        </w:tc>
        <w:tc>
          <w:tcPr>
            <w:tcW w:w="1127" w:type="dxa"/>
          </w:tcPr>
          <w:p w14:paraId="5F170161" w14:textId="77777777" w:rsidR="0023350F" w:rsidRPr="00670221" w:rsidRDefault="0023350F" w:rsidP="00170725">
            <w:pPr>
              <w:jc w:val="center"/>
              <w:rPr>
                <w:rFonts w:cstheme="minorHAnsi"/>
                <w:sz w:val="20"/>
                <w:szCs w:val="20"/>
                <w:lang w:val="en-US"/>
              </w:rPr>
            </w:pPr>
            <w:r w:rsidRPr="00670221">
              <w:rPr>
                <w:rFonts w:cstheme="minorHAnsi"/>
                <w:b/>
                <w:bCs/>
                <w:color w:val="000000"/>
                <w:sz w:val="20"/>
                <w:szCs w:val="20"/>
                <w:lang w:val="en-US"/>
              </w:rPr>
              <w:t>2040</w:t>
            </w:r>
          </w:p>
        </w:tc>
        <w:tc>
          <w:tcPr>
            <w:tcW w:w="1127" w:type="dxa"/>
          </w:tcPr>
          <w:p w14:paraId="109CC7A6" w14:textId="77777777" w:rsidR="0023350F" w:rsidRPr="00670221" w:rsidRDefault="0023350F" w:rsidP="00170725">
            <w:pPr>
              <w:jc w:val="center"/>
              <w:rPr>
                <w:rFonts w:cstheme="minorHAnsi"/>
                <w:sz w:val="20"/>
                <w:szCs w:val="20"/>
                <w:lang w:val="en-US"/>
              </w:rPr>
            </w:pPr>
            <w:r w:rsidRPr="00670221">
              <w:rPr>
                <w:rFonts w:cstheme="minorHAnsi"/>
                <w:b/>
                <w:bCs/>
                <w:color w:val="000000"/>
                <w:sz w:val="20"/>
                <w:szCs w:val="20"/>
                <w:lang w:val="en-US"/>
              </w:rPr>
              <w:t>2045</w:t>
            </w:r>
          </w:p>
        </w:tc>
        <w:tc>
          <w:tcPr>
            <w:tcW w:w="1127" w:type="dxa"/>
          </w:tcPr>
          <w:p w14:paraId="69A3E3E0" w14:textId="77777777" w:rsidR="0023350F" w:rsidRPr="00670221" w:rsidRDefault="0023350F" w:rsidP="00170725">
            <w:pPr>
              <w:jc w:val="center"/>
              <w:rPr>
                <w:rFonts w:cstheme="minorHAnsi"/>
                <w:sz w:val="20"/>
                <w:szCs w:val="20"/>
                <w:lang w:val="en-US"/>
              </w:rPr>
            </w:pPr>
            <w:r w:rsidRPr="00670221">
              <w:rPr>
                <w:rFonts w:cstheme="minorHAnsi"/>
                <w:b/>
                <w:bCs/>
                <w:color w:val="000000"/>
                <w:sz w:val="20"/>
                <w:szCs w:val="20"/>
                <w:lang w:val="en-US"/>
              </w:rPr>
              <w:t>2050</w:t>
            </w:r>
          </w:p>
        </w:tc>
      </w:tr>
      <w:tr w:rsidR="0023350F" w:rsidRPr="00670221" w14:paraId="574AC140" w14:textId="77777777" w:rsidTr="00170725">
        <w:tc>
          <w:tcPr>
            <w:tcW w:w="1127" w:type="dxa"/>
            <w:tcBorders>
              <w:top w:val="single" w:sz="4" w:space="0" w:color="auto"/>
            </w:tcBorders>
          </w:tcPr>
          <w:p w14:paraId="2CE44079" w14:textId="77777777" w:rsidR="0023350F" w:rsidRPr="00670221" w:rsidRDefault="0023350F" w:rsidP="00170725">
            <w:pPr>
              <w:jc w:val="center"/>
              <w:rPr>
                <w:rFonts w:cstheme="minorHAnsi"/>
                <w:sz w:val="20"/>
                <w:szCs w:val="20"/>
                <w:lang w:val="en-US"/>
              </w:rPr>
            </w:pPr>
            <w:r w:rsidRPr="00670221">
              <w:rPr>
                <w:rFonts w:cstheme="minorHAnsi"/>
                <w:b/>
                <w:bCs/>
                <w:color w:val="000000"/>
                <w:sz w:val="20"/>
                <w:szCs w:val="20"/>
                <w:lang w:val="en-US"/>
              </w:rPr>
              <w:t>SAF (total)</w:t>
            </w:r>
          </w:p>
        </w:tc>
        <w:tc>
          <w:tcPr>
            <w:tcW w:w="1127" w:type="dxa"/>
          </w:tcPr>
          <w:p w14:paraId="4B8A234B"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2%</w:t>
            </w:r>
          </w:p>
        </w:tc>
        <w:tc>
          <w:tcPr>
            <w:tcW w:w="1127" w:type="dxa"/>
          </w:tcPr>
          <w:p w14:paraId="0D78DD13"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6%</w:t>
            </w:r>
          </w:p>
        </w:tc>
        <w:tc>
          <w:tcPr>
            <w:tcW w:w="1127" w:type="dxa"/>
          </w:tcPr>
          <w:p w14:paraId="70C5D9CC"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6%</w:t>
            </w:r>
          </w:p>
        </w:tc>
        <w:tc>
          <w:tcPr>
            <w:tcW w:w="1127" w:type="dxa"/>
          </w:tcPr>
          <w:p w14:paraId="71415447"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20%</w:t>
            </w:r>
          </w:p>
        </w:tc>
        <w:tc>
          <w:tcPr>
            <w:tcW w:w="1127" w:type="dxa"/>
          </w:tcPr>
          <w:p w14:paraId="724B1AA8"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34%</w:t>
            </w:r>
          </w:p>
        </w:tc>
        <w:tc>
          <w:tcPr>
            <w:tcW w:w="1127" w:type="dxa"/>
          </w:tcPr>
          <w:p w14:paraId="464A8A67"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42%</w:t>
            </w:r>
          </w:p>
        </w:tc>
        <w:tc>
          <w:tcPr>
            <w:tcW w:w="1127" w:type="dxa"/>
          </w:tcPr>
          <w:p w14:paraId="34AC767F"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70%</w:t>
            </w:r>
          </w:p>
        </w:tc>
      </w:tr>
      <w:tr w:rsidR="0023350F" w:rsidRPr="00670221" w14:paraId="3ED758BC" w14:textId="77777777" w:rsidTr="00170725">
        <w:tc>
          <w:tcPr>
            <w:tcW w:w="1127" w:type="dxa"/>
          </w:tcPr>
          <w:p w14:paraId="69E4894B" w14:textId="77777777" w:rsidR="0023350F" w:rsidRPr="00670221" w:rsidRDefault="0023350F" w:rsidP="00170725">
            <w:pPr>
              <w:jc w:val="center"/>
              <w:rPr>
                <w:rFonts w:cstheme="minorHAnsi"/>
                <w:sz w:val="20"/>
                <w:szCs w:val="20"/>
                <w:lang w:val="en-US"/>
              </w:rPr>
            </w:pPr>
            <w:proofErr w:type="spellStart"/>
            <w:r w:rsidRPr="00670221">
              <w:rPr>
                <w:rFonts w:cstheme="minorHAnsi"/>
                <w:b/>
                <w:bCs/>
                <w:color w:val="000000"/>
                <w:sz w:val="20"/>
                <w:szCs w:val="20"/>
                <w:lang w:val="en-US"/>
              </w:rPr>
              <w:t>eSAF</w:t>
            </w:r>
            <w:proofErr w:type="spellEnd"/>
          </w:p>
        </w:tc>
        <w:tc>
          <w:tcPr>
            <w:tcW w:w="1127" w:type="dxa"/>
          </w:tcPr>
          <w:p w14:paraId="7F73E24D" w14:textId="77777777" w:rsidR="0023350F" w:rsidRPr="00670221" w:rsidRDefault="0023350F" w:rsidP="00170725">
            <w:pPr>
              <w:jc w:val="center"/>
              <w:rPr>
                <w:rFonts w:cstheme="minorHAnsi"/>
                <w:sz w:val="20"/>
                <w:szCs w:val="20"/>
                <w:lang w:val="en-US"/>
              </w:rPr>
            </w:pPr>
            <w:r w:rsidRPr="00670221">
              <w:rPr>
                <w:rFonts w:cstheme="minorHAnsi"/>
                <w:sz w:val="20"/>
                <w:szCs w:val="20"/>
                <w:lang w:val="en-US"/>
              </w:rPr>
              <w:t>-</w:t>
            </w:r>
          </w:p>
        </w:tc>
        <w:tc>
          <w:tcPr>
            <w:tcW w:w="1127" w:type="dxa"/>
          </w:tcPr>
          <w:p w14:paraId="1BBD9EEF"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1.2%</w:t>
            </w:r>
          </w:p>
        </w:tc>
        <w:tc>
          <w:tcPr>
            <w:tcW w:w="1127" w:type="dxa"/>
          </w:tcPr>
          <w:p w14:paraId="5486ED25"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2%</w:t>
            </w:r>
          </w:p>
        </w:tc>
        <w:tc>
          <w:tcPr>
            <w:tcW w:w="1127" w:type="dxa"/>
          </w:tcPr>
          <w:p w14:paraId="574498BB"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5%</w:t>
            </w:r>
          </w:p>
        </w:tc>
        <w:tc>
          <w:tcPr>
            <w:tcW w:w="1127" w:type="dxa"/>
          </w:tcPr>
          <w:p w14:paraId="7DA4142C"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15%</w:t>
            </w:r>
          </w:p>
        </w:tc>
        <w:tc>
          <w:tcPr>
            <w:tcW w:w="1127" w:type="dxa"/>
          </w:tcPr>
          <w:p w14:paraId="1AA6DED0" w14:textId="77777777" w:rsidR="0023350F" w:rsidRPr="00670221" w:rsidRDefault="0023350F" w:rsidP="00170725">
            <w:pPr>
              <w:jc w:val="center"/>
              <w:rPr>
                <w:rFonts w:cstheme="minorHAnsi"/>
                <w:sz w:val="20"/>
                <w:szCs w:val="20"/>
                <w:lang w:val="en-US"/>
              </w:rPr>
            </w:pPr>
            <w:r w:rsidRPr="00670221">
              <w:rPr>
                <w:rFonts w:cstheme="minorHAnsi"/>
                <w:color w:val="000000"/>
                <w:sz w:val="20"/>
                <w:szCs w:val="20"/>
                <w:lang w:val="en-US"/>
              </w:rPr>
              <w:t>20%</w:t>
            </w:r>
          </w:p>
        </w:tc>
        <w:tc>
          <w:tcPr>
            <w:tcW w:w="1127" w:type="dxa"/>
          </w:tcPr>
          <w:p w14:paraId="0EBE8A96" w14:textId="77777777" w:rsidR="0023350F" w:rsidRPr="00670221" w:rsidRDefault="0023350F" w:rsidP="00170725">
            <w:pPr>
              <w:keepNext/>
              <w:jc w:val="center"/>
              <w:rPr>
                <w:rFonts w:cstheme="minorHAnsi"/>
                <w:sz w:val="20"/>
                <w:szCs w:val="20"/>
                <w:lang w:val="en-US"/>
              </w:rPr>
            </w:pPr>
            <w:r w:rsidRPr="00670221">
              <w:rPr>
                <w:rFonts w:cstheme="minorHAnsi"/>
                <w:color w:val="000000"/>
                <w:sz w:val="20"/>
                <w:szCs w:val="20"/>
                <w:lang w:val="en-US"/>
              </w:rPr>
              <w:t>35%</w:t>
            </w:r>
          </w:p>
        </w:tc>
      </w:tr>
    </w:tbl>
    <w:p w14:paraId="0B22D3CE" w14:textId="14DA9A08" w:rsidR="0023350F" w:rsidRPr="00670221" w:rsidRDefault="0023350F" w:rsidP="00DD1551">
      <w:pPr>
        <w:pStyle w:val="Caption"/>
        <w:rPr>
          <w:lang w:val="en-US"/>
        </w:rPr>
      </w:pPr>
      <w:bookmarkStart w:id="61" w:name="_Toc184403584"/>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3</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2</w:t>
      </w:r>
      <w:r w:rsidR="00EF60A5" w:rsidRPr="00670221">
        <w:rPr>
          <w:lang w:val="en-US"/>
        </w:rPr>
        <w:fldChar w:fldCharType="end"/>
      </w:r>
      <w:r w:rsidRPr="00670221">
        <w:rPr>
          <w:lang w:val="en-US"/>
        </w:rPr>
        <w:t xml:space="preserve">: EU </w:t>
      </w:r>
      <w:r w:rsidR="00EA124D" w:rsidRPr="00670221">
        <w:rPr>
          <w:lang w:val="en-US"/>
        </w:rPr>
        <w:t>m</w:t>
      </w:r>
      <w:r w:rsidRPr="00670221">
        <w:rPr>
          <w:lang w:val="en-US"/>
        </w:rPr>
        <w:t xml:space="preserve">andates </w:t>
      </w:r>
      <w:r w:rsidR="00EA124D" w:rsidRPr="00670221">
        <w:rPr>
          <w:lang w:val="en-US"/>
        </w:rPr>
        <w:t>r</w:t>
      </w:r>
      <w:r w:rsidRPr="00670221">
        <w:rPr>
          <w:lang w:val="en-US"/>
        </w:rPr>
        <w:t xml:space="preserve">egarding </w:t>
      </w:r>
      <w:r w:rsidR="00EA124D" w:rsidRPr="00670221">
        <w:rPr>
          <w:lang w:val="en-US"/>
        </w:rPr>
        <w:t>sustainable a</w:t>
      </w:r>
      <w:r w:rsidRPr="00670221">
        <w:rPr>
          <w:lang w:val="en-US"/>
        </w:rPr>
        <w:t xml:space="preserve">viation </w:t>
      </w:r>
      <w:r w:rsidR="00EA124D" w:rsidRPr="00670221">
        <w:rPr>
          <w:lang w:val="en-US"/>
        </w:rPr>
        <w:t>f</w:t>
      </w:r>
      <w:r w:rsidRPr="00670221">
        <w:rPr>
          <w:lang w:val="en-US"/>
        </w:rPr>
        <w:t xml:space="preserve">uel </w:t>
      </w:r>
      <w:r w:rsidR="00EA124D" w:rsidRPr="00670221">
        <w:rPr>
          <w:lang w:val="en-US"/>
        </w:rPr>
        <w:t>c</w:t>
      </w:r>
      <w:r w:rsidRPr="00670221">
        <w:rPr>
          <w:lang w:val="en-US"/>
        </w:rPr>
        <w:t>onsumption (Council of the EU, 2023)</w:t>
      </w:r>
      <w:bookmarkEnd w:id="61"/>
    </w:p>
    <w:p w14:paraId="1182D811" w14:textId="6A5381C9" w:rsidR="00906CE2" w:rsidRPr="00670221" w:rsidRDefault="00906CE2" w:rsidP="00906CE2">
      <w:pPr>
        <w:rPr>
          <w:lang w:val="en-US"/>
        </w:rPr>
      </w:pPr>
      <w:r w:rsidRPr="00670221">
        <w:rPr>
          <w:lang w:val="en-US"/>
        </w:rPr>
        <w:t xml:space="preserve">These mandates reflect the growing importance of </w:t>
      </w:r>
      <w:proofErr w:type="spellStart"/>
      <w:r w:rsidRPr="00670221">
        <w:rPr>
          <w:lang w:val="en-US"/>
        </w:rPr>
        <w:t>eSAFs</w:t>
      </w:r>
      <w:proofErr w:type="spellEnd"/>
      <w:r w:rsidRPr="00670221">
        <w:rPr>
          <w:lang w:val="en-US"/>
        </w:rPr>
        <w:t>, which are required to make up 35% of aviation fuel by 2050 (Council of the EU, 2023). Currently, bio-based SAF solutions dominate the market due to their cost-effectiveness and availability (Fiorini et al., 2023). However, biofuels face challenges like limited feedstock availability and competition from other decarbonizing sectors (</w:t>
      </w:r>
      <w:proofErr w:type="spellStart"/>
      <w:r w:rsidRPr="00670221">
        <w:rPr>
          <w:lang w:val="en-US"/>
        </w:rPr>
        <w:t>SkyNRG</w:t>
      </w:r>
      <w:proofErr w:type="spellEnd"/>
      <w:r w:rsidRPr="00670221">
        <w:rPr>
          <w:lang w:val="en-US"/>
        </w:rPr>
        <w:t>, 2024; European Parliament, 2022). Expanding biofuel cultivation also risks competing with food supplies and reducing carbon sinks, further complicating its scalability (Fiorini et al., 2023;</w:t>
      </w:r>
      <w:r w:rsidR="00321A4A" w:rsidRPr="00670221">
        <w:rPr>
          <w:lang w:val="en-US"/>
        </w:rPr>
        <w:t xml:space="preserve">). </w:t>
      </w:r>
      <w:r w:rsidRPr="00670221">
        <w:rPr>
          <w:lang w:val="en-US"/>
        </w:rPr>
        <w:t>To address these limitations, the EU mandates a minimum share of synthetic fuels</w:t>
      </w:r>
      <w:r w:rsidR="00117AC6" w:rsidRPr="00670221">
        <w:rPr>
          <w:lang w:val="en-US"/>
        </w:rPr>
        <w:t xml:space="preserve"> (</w:t>
      </w:r>
      <w:proofErr w:type="spellStart"/>
      <w:r w:rsidR="00117AC6" w:rsidRPr="00670221">
        <w:rPr>
          <w:lang w:val="en-US"/>
        </w:rPr>
        <w:t>eSAFs</w:t>
      </w:r>
      <w:proofErr w:type="spellEnd"/>
      <w:r w:rsidR="00117AC6" w:rsidRPr="00670221">
        <w:rPr>
          <w:lang w:val="en-US"/>
        </w:rPr>
        <w:t>)</w:t>
      </w:r>
      <w:r w:rsidRPr="00670221">
        <w:rPr>
          <w:lang w:val="en-US"/>
        </w:rPr>
        <w:t xml:space="preserve">, recognizing </w:t>
      </w:r>
      <w:r w:rsidR="00CE1454" w:rsidRPr="00670221">
        <w:rPr>
          <w:lang w:val="en-US"/>
        </w:rPr>
        <w:t>d</w:t>
      </w:r>
      <w:r w:rsidRPr="00670221">
        <w:rPr>
          <w:lang w:val="en-US"/>
        </w:rPr>
        <w:t xml:space="preserve">irect </w:t>
      </w:r>
      <w:r w:rsidR="00CE1454" w:rsidRPr="00670221">
        <w:rPr>
          <w:lang w:val="en-US"/>
        </w:rPr>
        <w:t>a</w:t>
      </w:r>
      <w:r w:rsidRPr="00670221">
        <w:rPr>
          <w:lang w:val="en-US"/>
        </w:rPr>
        <w:t xml:space="preserve">ir </w:t>
      </w:r>
      <w:r w:rsidR="00CE1454" w:rsidRPr="00670221">
        <w:rPr>
          <w:lang w:val="en-US"/>
        </w:rPr>
        <w:t>c</w:t>
      </w:r>
      <w:r w:rsidRPr="00670221">
        <w:rPr>
          <w:lang w:val="en-US"/>
        </w:rPr>
        <w:t>apture as a key technology for carbon sourcing (European Parliament, 2022).</w:t>
      </w:r>
    </w:p>
    <w:p w14:paraId="6CBC8769" w14:textId="6AF68DE8" w:rsidR="00906CE2" w:rsidRPr="00670221" w:rsidRDefault="001B746E" w:rsidP="00906CE2">
      <w:pPr>
        <w:rPr>
          <w:lang w:val="en-US"/>
        </w:rPr>
      </w:pPr>
      <w:r w:rsidRPr="00670221">
        <w:rPr>
          <w:lang w:val="en-US"/>
        </w:rPr>
        <w:t>I</w:t>
      </w:r>
      <w:r w:rsidR="00906CE2" w:rsidRPr="00670221">
        <w:rPr>
          <w:lang w:val="en-US"/>
        </w:rPr>
        <w:t xml:space="preserve">ndustries receiving free allowances under the EU ETS can offer fossil CO₂ to </w:t>
      </w:r>
      <w:proofErr w:type="spellStart"/>
      <w:r w:rsidR="00906CE2" w:rsidRPr="00670221">
        <w:rPr>
          <w:lang w:val="en-US"/>
        </w:rPr>
        <w:t>eSAF</w:t>
      </w:r>
      <w:proofErr w:type="spellEnd"/>
      <w:r w:rsidR="00906CE2" w:rsidRPr="00670221">
        <w:rPr>
          <w:lang w:val="en-US"/>
        </w:rPr>
        <w:t xml:space="preserve"> producers at a reduced cost, effectively subsidizing fossil carbon. This creates a cost advantage for fossil CO₂ over DAC-sourced carbon, potentially delaying the transition to DAC as a primary carbon source for </w:t>
      </w:r>
      <w:proofErr w:type="spellStart"/>
      <w:r w:rsidR="00906CE2" w:rsidRPr="00670221">
        <w:rPr>
          <w:lang w:val="en-US"/>
        </w:rPr>
        <w:t>eSAF</w:t>
      </w:r>
      <w:proofErr w:type="spellEnd"/>
      <w:r w:rsidR="00906CE2" w:rsidRPr="00670221">
        <w:rPr>
          <w:lang w:val="en-US"/>
        </w:rPr>
        <w:t xml:space="preserve"> production until free ETS credits are </w:t>
      </w:r>
      <w:r w:rsidR="008A7C25" w:rsidRPr="00670221">
        <w:rPr>
          <w:lang w:val="en-US"/>
        </w:rPr>
        <w:t xml:space="preserve">completely </w:t>
      </w:r>
      <w:r w:rsidR="00906CE2" w:rsidRPr="00670221">
        <w:rPr>
          <w:lang w:val="en-US"/>
        </w:rPr>
        <w:t>phased out (Martin et al., 2024). This imbalance could hinder DAC’s development and competitiveness as a sustainable solution in aviation fuel production.</w:t>
      </w:r>
    </w:p>
    <w:p w14:paraId="09C0C54B" w14:textId="2E4466D2" w:rsidR="00401740" w:rsidRPr="00670221" w:rsidRDefault="00844C32" w:rsidP="007C42EB">
      <w:pPr>
        <w:pStyle w:val="Heading4"/>
        <w:rPr>
          <w:lang w:val="en-US"/>
        </w:rPr>
      </w:pPr>
      <w:r w:rsidRPr="00670221">
        <w:rPr>
          <w:lang w:val="en-US"/>
        </w:rPr>
        <w:t>Additional Financial</w:t>
      </w:r>
      <w:r w:rsidR="007C42EB" w:rsidRPr="00670221">
        <w:rPr>
          <w:lang w:val="en-US"/>
        </w:rPr>
        <w:t xml:space="preserve"> Measures</w:t>
      </w:r>
    </w:p>
    <w:p w14:paraId="23CC0B52" w14:textId="06C37D41" w:rsidR="00362763" w:rsidRPr="00670221" w:rsidRDefault="00362763" w:rsidP="00362763">
      <w:pPr>
        <w:rPr>
          <w:lang w:val="en-US"/>
        </w:rPr>
      </w:pPr>
      <w:r w:rsidRPr="00670221">
        <w:rPr>
          <w:lang w:val="en-US"/>
        </w:rPr>
        <w:t xml:space="preserve">The EU has introduced financial mechanisms to support the adoption of </w:t>
      </w:r>
      <w:r w:rsidR="00970748" w:rsidRPr="00670221">
        <w:rPr>
          <w:lang w:val="en-US"/>
        </w:rPr>
        <w:t>s</w:t>
      </w:r>
      <w:r w:rsidRPr="00670221">
        <w:rPr>
          <w:lang w:val="en-US"/>
        </w:rPr>
        <w:t xml:space="preserve">ustainable </w:t>
      </w:r>
      <w:r w:rsidR="00970748" w:rsidRPr="00670221">
        <w:rPr>
          <w:lang w:val="en-US"/>
        </w:rPr>
        <w:t>a</w:t>
      </w:r>
      <w:r w:rsidRPr="00670221">
        <w:rPr>
          <w:lang w:val="en-US"/>
        </w:rPr>
        <w:t xml:space="preserve">viation </w:t>
      </w:r>
      <w:r w:rsidR="00970748" w:rsidRPr="00670221">
        <w:rPr>
          <w:lang w:val="en-US"/>
        </w:rPr>
        <w:t>f</w:t>
      </w:r>
      <w:r w:rsidRPr="00670221">
        <w:rPr>
          <w:lang w:val="en-US"/>
        </w:rPr>
        <w:t>uels. One such measure is the allocation of €20 million worth of SAF allowances under the EU Emissions Trading System, designed to reduce the price gap between SAF and fossil kerosene</w:t>
      </w:r>
      <w:r w:rsidR="005F6A68" w:rsidRPr="00670221">
        <w:rPr>
          <w:lang w:val="en-US"/>
        </w:rPr>
        <w:t xml:space="preserve"> and make</w:t>
      </w:r>
      <w:r w:rsidRPr="00670221">
        <w:rPr>
          <w:lang w:val="en-US"/>
        </w:rPr>
        <w:t xml:space="preserve"> SAF more competitive</w:t>
      </w:r>
      <w:r w:rsidR="00644BD6" w:rsidRPr="00670221">
        <w:rPr>
          <w:lang w:val="en-US"/>
        </w:rPr>
        <w:t xml:space="preserve"> (</w:t>
      </w:r>
      <w:r w:rsidR="00D34B5D" w:rsidRPr="00670221">
        <w:rPr>
          <w:lang w:val="en-US"/>
        </w:rPr>
        <w:t>European Commission, n.d.)</w:t>
      </w:r>
      <w:r w:rsidR="00515355" w:rsidRPr="00670221">
        <w:rPr>
          <w:lang w:val="en-US"/>
        </w:rPr>
        <w:t xml:space="preserve">. </w:t>
      </w:r>
      <w:r w:rsidR="00F00FB4" w:rsidRPr="00670221">
        <w:rPr>
          <w:lang w:val="en-US"/>
        </w:rPr>
        <w:t xml:space="preserve">A </w:t>
      </w:r>
      <w:r w:rsidRPr="00670221">
        <w:rPr>
          <w:lang w:val="en-US"/>
        </w:rPr>
        <w:t>preferential tax treatment for SAF through the Energy Taxation Directive</w:t>
      </w:r>
      <w:r w:rsidR="003B5215" w:rsidRPr="00670221">
        <w:rPr>
          <w:lang w:val="en-US"/>
        </w:rPr>
        <w:t xml:space="preserve"> has also been proposed</w:t>
      </w:r>
      <w:r w:rsidRPr="00670221">
        <w:rPr>
          <w:lang w:val="en-US"/>
        </w:rPr>
        <w:t>, incentivizing the transition to cleaner fuels by offering economic benefits to operators using SA</w:t>
      </w:r>
      <w:r w:rsidR="00515355" w:rsidRPr="00670221">
        <w:rPr>
          <w:lang w:val="en-US"/>
        </w:rPr>
        <w:t>F</w:t>
      </w:r>
      <w:r w:rsidR="00D34B5D" w:rsidRPr="00670221">
        <w:rPr>
          <w:lang w:val="en-US"/>
        </w:rPr>
        <w:t xml:space="preserve"> (European Commission, n.d.)</w:t>
      </w:r>
      <w:r w:rsidRPr="00670221">
        <w:rPr>
          <w:lang w:val="en-US"/>
        </w:rPr>
        <w:t>.</w:t>
      </w:r>
    </w:p>
    <w:p w14:paraId="5811A33D" w14:textId="74E5C708" w:rsidR="007C42EB" w:rsidRPr="00670221" w:rsidRDefault="00362763" w:rsidP="00362763">
      <w:pPr>
        <w:rPr>
          <w:lang w:val="en-US"/>
        </w:rPr>
      </w:pPr>
      <w:r w:rsidRPr="00670221">
        <w:rPr>
          <w:lang w:val="en-US"/>
        </w:rPr>
        <w:t>Additional financial support is provided at various stages of SAF development through programs like Horizon Europe, which funds early-stage research, and the Innovation Fund, which supports projects ready for commercial scaling</w:t>
      </w:r>
      <w:r w:rsidR="00134D4F" w:rsidRPr="00670221">
        <w:rPr>
          <w:lang w:val="en-US"/>
        </w:rPr>
        <w:t xml:space="preserve"> </w:t>
      </w:r>
      <w:r w:rsidR="000143C7" w:rsidRPr="00670221">
        <w:rPr>
          <w:lang w:val="en-US"/>
        </w:rPr>
        <w:t>(</w:t>
      </w:r>
      <w:r w:rsidR="00134D4F" w:rsidRPr="00670221">
        <w:rPr>
          <w:lang w:val="en-US"/>
        </w:rPr>
        <w:t>European Commission, 2024; European Commission n.d.)</w:t>
      </w:r>
      <w:r w:rsidRPr="00670221">
        <w:rPr>
          <w:lang w:val="en-US"/>
        </w:rPr>
        <w:t xml:space="preserve">. For more mature SAF technologies, </w:t>
      </w:r>
      <w:proofErr w:type="spellStart"/>
      <w:r w:rsidRPr="00670221">
        <w:rPr>
          <w:lang w:val="en-US"/>
        </w:rPr>
        <w:t>InvestEU</w:t>
      </w:r>
      <w:proofErr w:type="spellEnd"/>
      <w:r w:rsidRPr="00670221">
        <w:rPr>
          <w:lang w:val="en-US"/>
        </w:rPr>
        <w:t xml:space="preserve"> helps attract private investments by offering loans, guarantees, and equity, reducing financial risks for investors</w:t>
      </w:r>
      <w:r w:rsidR="00134D4F" w:rsidRPr="00670221">
        <w:rPr>
          <w:lang w:val="en-US"/>
        </w:rPr>
        <w:t xml:space="preserve"> (</w:t>
      </w:r>
      <w:r w:rsidR="000143C7" w:rsidRPr="00670221">
        <w:rPr>
          <w:lang w:val="en-US"/>
        </w:rPr>
        <w:t>European Union, 2024)</w:t>
      </w:r>
      <w:r w:rsidRPr="00670221">
        <w:rPr>
          <w:lang w:val="en-US"/>
        </w:rPr>
        <w:t>. Together, these initiatives provide comprehensive support for SAF from research through to market deployment</w:t>
      </w:r>
      <w:r w:rsidR="00D34B5D" w:rsidRPr="00670221">
        <w:rPr>
          <w:lang w:val="en-US"/>
        </w:rPr>
        <w:t xml:space="preserve"> (European Commission, n.d.).</w:t>
      </w:r>
    </w:p>
    <w:p w14:paraId="5703D9A3" w14:textId="77777777" w:rsidR="00D34B5D" w:rsidRPr="00670221" w:rsidRDefault="00D34B5D" w:rsidP="00362763">
      <w:pPr>
        <w:rPr>
          <w:lang w:val="en-US"/>
        </w:rPr>
      </w:pPr>
    </w:p>
    <w:p w14:paraId="118CAD21" w14:textId="77777777" w:rsidR="00ED3CD5" w:rsidRPr="00670221" w:rsidRDefault="00206616" w:rsidP="00206616">
      <w:pPr>
        <w:pStyle w:val="Heading2"/>
      </w:pPr>
      <w:bookmarkStart w:id="62" w:name="_Toc184403440"/>
      <w:r w:rsidRPr="00670221">
        <w:t>Networks</w:t>
      </w:r>
      <w:bookmarkEnd w:id="62"/>
    </w:p>
    <w:p w14:paraId="712F116B" w14:textId="64E19D7E" w:rsidR="00AF4660" w:rsidRPr="00670221" w:rsidRDefault="00AF4660" w:rsidP="00AF4660">
      <w:pPr>
        <w:rPr>
          <w:lang w:val="en-US"/>
        </w:rPr>
      </w:pPr>
      <w:r w:rsidRPr="00670221">
        <w:rPr>
          <w:lang w:val="en-US"/>
        </w:rPr>
        <w:t>As of 202</w:t>
      </w:r>
      <w:r w:rsidR="00E70790" w:rsidRPr="00670221">
        <w:rPr>
          <w:lang w:val="en-US"/>
        </w:rPr>
        <w:t>4</w:t>
      </w:r>
      <w:r w:rsidRPr="00670221">
        <w:rPr>
          <w:lang w:val="en-US"/>
        </w:rPr>
        <w:t xml:space="preserve">, there are 45 e-kerosene </w:t>
      </w:r>
      <w:r w:rsidR="0049409F" w:rsidRPr="00670221">
        <w:rPr>
          <w:lang w:val="en-US"/>
        </w:rPr>
        <w:t>(e</w:t>
      </w:r>
      <w:r w:rsidR="00F71BE8">
        <w:rPr>
          <w:lang w:val="en-US"/>
        </w:rPr>
        <w:t>-</w:t>
      </w:r>
      <w:r w:rsidR="0049409F" w:rsidRPr="00670221">
        <w:rPr>
          <w:lang w:val="en-US"/>
        </w:rPr>
        <w:t>fuel</w:t>
      </w:r>
      <w:r w:rsidR="00145305" w:rsidRPr="00670221">
        <w:rPr>
          <w:lang w:val="en-US"/>
        </w:rPr>
        <w:t xml:space="preserve"> or </w:t>
      </w:r>
      <w:proofErr w:type="spellStart"/>
      <w:r w:rsidR="00145305" w:rsidRPr="00670221">
        <w:rPr>
          <w:lang w:val="en-US"/>
        </w:rPr>
        <w:t>eSAF</w:t>
      </w:r>
      <w:proofErr w:type="spellEnd"/>
      <w:r w:rsidR="00145305" w:rsidRPr="00670221">
        <w:rPr>
          <w:lang w:val="en-US"/>
        </w:rPr>
        <w:t xml:space="preserve">) </w:t>
      </w:r>
      <w:r w:rsidRPr="00670221">
        <w:rPr>
          <w:lang w:val="en-US"/>
        </w:rPr>
        <w:t xml:space="preserve">projects identified in </w:t>
      </w:r>
      <w:r w:rsidR="00E70790" w:rsidRPr="00670221">
        <w:rPr>
          <w:lang w:val="en-US"/>
        </w:rPr>
        <w:t>Europe</w:t>
      </w:r>
      <w:r w:rsidRPr="00670221">
        <w:rPr>
          <w:lang w:val="en-US"/>
        </w:rPr>
        <w:t>, comprising 25 large-scale industrial projects and 20 smaller pilot projects</w:t>
      </w:r>
      <w:r w:rsidR="00E70790" w:rsidRPr="00670221">
        <w:rPr>
          <w:lang w:val="en-US"/>
        </w:rPr>
        <w:t xml:space="preserve"> (</w:t>
      </w:r>
      <w:proofErr w:type="spellStart"/>
      <w:r w:rsidR="00E70790" w:rsidRPr="00670221">
        <w:rPr>
          <w:lang w:val="en-US"/>
        </w:rPr>
        <w:t>Mutrelle</w:t>
      </w:r>
      <w:proofErr w:type="spellEnd"/>
      <w:r w:rsidR="00E70790" w:rsidRPr="00670221">
        <w:rPr>
          <w:lang w:val="en-US"/>
        </w:rPr>
        <w:t>, 2024)</w:t>
      </w:r>
      <w:r w:rsidRPr="00670221">
        <w:rPr>
          <w:lang w:val="en-US"/>
        </w:rPr>
        <w:t xml:space="preserve">. Collectively, </w:t>
      </w:r>
      <w:r w:rsidRPr="00670221">
        <w:rPr>
          <w:lang w:val="en-US"/>
        </w:rPr>
        <w:lastRenderedPageBreak/>
        <w:t xml:space="preserve">the large-scale industrial projects are projected to have a production capacity of 1.7 Mt by 2030, which surpasses the 0.6 Mt target (1.2%) set by </w:t>
      </w:r>
      <w:proofErr w:type="spellStart"/>
      <w:r w:rsidRPr="00670221">
        <w:rPr>
          <w:lang w:val="en-US"/>
        </w:rPr>
        <w:t>ReFuelEU</w:t>
      </w:r>
      <w:proofErr w:type="spellEnd"/>
      <w:r w:rsidRPr="00670221">
        <w:rPr>
          <w:lang w:val="en-US"/>
        </w:rPr>
        <w:t xml:space="preserve"> for the same year, and 2% (1.0 Mt) by 2032 (Council of the EU, 2023). However, none of these major projects have reached a final investment decision (FID) yet, and many are still in the feasibility study phase. Until these FIDs are finalized, the projected capacities should be considered tentative.</w:t>
      </w:r>
    </w:p>
    <w:p w14:paraId="47AA7454" w14:textId="77777777" w:rsidR="00AF4660" w:rsidRPr="00670221" w:rsidRDefault="00AF4660" w:rsidP="00AF4660">
      <w:pPr>
        <w:rPr>
          <w:lang w:val="en-US"/>
        </w:rPr>
      </w:pPr>
    </w:p>
    <w:p w14:paraId="27C2736B" w14:textId="77777777" w:rsidR="00AF4660" w:rsidRPr="00670221" w:rsidRDefault="004A4F50" w:rsidP="00AF4660">
      <w:pPr>
        <w:keepNext/>
        <w:rPr>
          <w:lang w:val="en-US"/>
        </w:rPr>
      </w:pPr>
      <w:r w:rsidRPr="00670221">
        <w:rPr>
          <w:noProof/>
          <w:lang w:val="en-US"/>
        </w:rPr>
        <w:drawing>
          <wp:inline distT="0" distB="0" distL="0" distR="0" wp14:anchorId="7FBFC4DE" wp14:editId="0891D8DC">
            <wp:extent cx="5731510" cy="4292600"/>
            <wp:effectExtent l="0" t="0" r="0" b="0"/>
            <wp:docPr id="1945424735" name="Picture 25" descr="A map of europe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24735" name="Picture 25" descr="A map of europe with different colored area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4292600"/>
                    </a:xfrm>
                    <a:prstGeom prst="rect">
                      <a:avLst/>
                    </a:prstGeom>
                  </pic:spPr>
                </pic:pic>
              </a:graphicData>
            </a:graphic>
          </wp:inline>
        </w:drawing>
      </w:r>
    </w:p>
    <w:p w14:paraId="2B57434A" w14:textId="69A083D4" w:rsidR="00AF4660" w:rsidRPr="00670221" w:rsidRDefault="00AF4660" w:rsidP="0089624C">
      <w:pPr>
        <w:pStyle w:val="Caption"/>
        <w:rPr>
          <w:lang w:val="en-US"/>
        </w:rPr>
      </w:pPr>
      <w:bookmarkStart w:id="63" w:name="_Toc184403551"/>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3</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5</w:t>
      </w:r>
      <w:r w:rsidR="002A3EA2" w:rsidRPr="00670221">
        <w:rPr>
          <w:lang w:val="en-US"/>
        </w:rPr>
        <w:fldChar w:fldCharType="end"/>
      </w:r>
      <w:r w:rsidRPr="00670221">
        <w:rPr>
          <w:lang w:val="en-US"/>
        </w:rPr>
        <w:t xml:space="preserve">: Map of </w:t>
      </w:r>
      <w:r w:rsidR="006E4C91" w:rsidRPr="00670221">
        <w:rPr>
          <w:lang w:val="en-US"/>
        </w:rPr>
        <w:t>announced</w:t>
      </w:r>
      <w:r w:rsidRPr="00670221">
        <w:rPr>
          <w:lang w:val="en-US"/>
        </w:rPr>
        <w:t xml:space="preserve"> large scale e-kerosene projects in the EU (</w:t>
      </w:r>
      <w:proofErr w:type="spellStart"/>
      <w:r w:rsidRPr="00670221">
        <w:rPr>
          <w:lang w:val="en-US"/>
        </w:rPr>
        <w:t>Mutrelle</w:t>
      </w:r>
      <w:proofErr w:type="spellEnd"/>
      <w:r w:rsidRPr="00670221">
        <w:rPr>
          <w:lang w:val="en-US"/>
        </w:rPr>
        <w:t>, 2024)</w:t>
      </w:r>
      <w:bookmarkEnd w:id="63"/>
    </w:p>
    <w:p w14:paraId="392CAFF9" w14:textId="357E6CB9" w:rsidR="00ED3CD5" w:rsidRPr="00670221" w:rsidRDefault="00ED3CD5" w:rsidP="00ED3CD5">
      <w:pPr>
        <w:rPr>
          <w:lang w:val="en-US"/>
        </w:rPr>
      </w:pPr>
      <w:r w:rsidRPr="00670221">
        <w:rPr>
          <w:lang w:val="en-US"/>
        </w:rPr>
        <w:t>This map shows the geographical distribution of major e-kerosene projects across Europe, which can be analyzed in relation to the availability of renewable energy sources</w:t>
      </w:r>
      <w:r w:rsidR="00296A2D" w:rsidRPr="00670221">
        <w:rPr>
          <w:lang w:val="en-US"/>
        </w:rPr>
        <w:t xml:space="preserve"> and </w:t>
      </w:r>
      <w:r w:rsidRPr="00670221">
        <w:rPr>
          <w:lang w:val="en-US"/>
        </w:rPr>
        <w:t>existing electricity networks, carbon capture and utilization infrastructure, aviation fueling infrastructure</w:t>
      </w:r>
      <w:r w:rsidR="00160CE3" w:rsidRPr="00670221">
        <w:rPr>
          <w:lang w:val="en-US"/>
        </w:rPr>
        <w:t>,</w:t>
      </w:r>
      <w:r w:rsidR="00AF4660" w:rsidRPr="00670221">
        <w:rPr>
          <w:lang w:val="en-US"/>
        </w:rPr>
        <w:t xml:space="preserve"> local legislation</w:t>
      </w:r>
      <w:r w:rsidR="00160CE3" w:rsidRPr="00670221">
        <w:rPr>
          <w:lang w:val="en-US"/>
        </w:rPr>
        <w:t xml:space="preserve"> and the project actors</w:t>
      </w:r>
      <w:r w:rsidRPr="00670221">
        <w:rPr>
          <w:lang w:val="en-US"/>
        </w:rPr>
        <w:t>.</w:t>
      </w:r>
    </w:p>
    <w:p w14:paraId="72F4084B" w14:textId="155A03BD" w:rsidR="002A219C" w:rsidRPr="00670221" w:rsidRDefault="00ED3CD5" w:rsidP="002A219C">
      <w:pPr>
        <w:pStyle w:val="Heading4"/>
        <w:rPr>
          <w:lang w:val="en-US"/>
        </w:rPr>
      </w:pPr>
      <w:r w:rsidRPr="00670221">
        <w:rPr>
          <w:lang w:val="en-US"/>
        </w:rPr>
        <w:t xml:space="preserve">Renewable Energy Sources </w:t>
      </w:r>
      <w:r w:rsidR="00FA6B10" w:rsidRPr="00670221">
        <w:rPr>
          <w:lang w:val="en-US"/>
        </w:rPr>
        <w:t xml:space="preserve">and </w:t>
      </w:r>
      <w:r w:rsidR="0037662E" w:rsidRPr="00670221">
        <w:rPr>
          <w:lang w:val="en-US"/>
        </w:rPr>
        <w:t>E</w:t>
      </w:r>
      <w:r w:rsidR="00FA6B10" w:rsidRPr="00670221">
        <w:rPr>
          <w:lang w:val="en-US"/>
        </w:rPr>
        <w:t>lectricity</w:t>
      </w:r>
    </w:p>
    <w:p w14:paraId="36CA526A" w14:textId="41831BC0" w:rsidR="009D00B5" w:rsidRPr="00670221" w:rsidRDefault="009D00B5" w:rsidP="004161D0">
      <w:pPr>
        <w:rPr>
          <w:lang w:val="en-US"/>
        </w:rPr>
      </w:pPr>
      <w:r w:rsidRPr="00670221">
        <w:rPr>
          <w:lang w:val="en-US"/>
        </w:rPr>
        <w:t xml:space="preserve">The regions highlighted in the map, such as southern European coastal areas, northern Germany, and Scandinavia, are well-suited for e-kerosene production due to their significant renewable energy resources, including solar, wind, and hydropower. Northern Germany stands out for its offshore wind capacity, while Norway leverages hydropower, both of which provide the renewable electricity needed for green hydrogen and e-kerosene production. France, with six announced projects—the highest in Europe—includes two biofuel projects, </w:t>
      </w:r>
      <w:r w:rsidR="00332EFA" w:rsidRPr="00670221">
        <w:rPr>
          <w:lang w:val="en-US"/>
        </w:rPr>
        <w:t>while three of the remaining four ha</w:t>
      </w:r>
      <w:r w:rsidR="00C6762F" w:rsidRPr="00670221">
        <w:rPr>
          <w:lang w:val="en-US"/>
        </w:rPr>
        <w:t>ve</w:t>
      </w:r>
      <w:r w:rsidR="00332EFA" w:rsidRPr="00670221">
        <w:rPr>
          <w:lang w:val="en-US"/>
        </w:rPr>
        <w:t xml:space="preserve"> </w:t>
      </w:r>
      <w:r w:rsidR="001E2BEA" w:rsidRPr="00670221">
        <w:rPr>
          <w:lang w:val="en-US"/>
        </w:rPr>
        <w:t>indicated to build additional nuclear or renewable capacity</w:t>
      </w:r>
      <w:r w:rsidRPr="00670221">
        <w:rPr>
          <w:lang w:val="en-US"/>
        </w:rPr>
        <w:t>.</w:t>
      </w:r>
    </w:p>
    <w:p w14:paraId="4A249753" w14:textId="29AF28B1" w:rsidR="004161D0" w:rsidRPr="00670221" w:rsidRDefault="004161D0" w:rsidP="004161D0">
      <w:pPr>
        <w:rPr>
          <w:lang w:val="en-US"/>
        </w:rPr>
      </w:pPr>
      <w:r w:rsidRPr="00670221">
        <w:rPr>
          <w:lang w:val="en-US"/>
        </w:rPr>
        <w:lastRenderedPageBreak/>
        <w:t xml:space="preserve">Locating </w:t>
      </w:r>
      <w:proofErr w:type="spellStart"/>
      <w:r w:rsidRPr="00670221">
        <w:rPr>
          <w:lang w:val="en-US"/>
        </w:rPr>
        <w:t>eSAF</w:t>
      </w:r>
      <w:proofErr w:type="spellEnd"/>
      <w:r w:rsidRPr="00670221">
        <w:rPr>
          <w:lang w:val="en-US"/>
        </w:rPr>
        <w:t xml:space="preserve"> plants near renewable energy sources minimizes electricity transport challenges caused by grid congestion. Hydrogen transport and storage issues further support the localized production of </w:t>
      </w:r>
      <w:proofErr w:type="spellStart"/>
      <w:r w:rsidRPr="00670221">
        <w:rPr>
          <w:lang w:val="en-US"/>
        </w:rPr>
        <w:t>eSAF</w:t>
      </w:r>
      <w:proofErr w:type="spellEnd"/>
      <w:r w:rsidRPr="00670221">
        <w:rPr>
          <w:lang w:val="en-US"/>
        </w:rPr>
        <w:t xml:space="preserve">, ensuring efficient energy use. Additionally, proximity to a robust renewable energy grid is vital for balancing supply and stabilizing production, allowing for the exchange of surplus energy when necessary. EU regulations mandate that at least 90% of grid </w:t>
      </w:r>
      <w:r w:rsidR="006554D1" w:rsidRPr="00670221">
        <w:rPr>
          <w:lang w:val="en-US"/>
        </w:rPr>
        <w:t>electricity</w:t>
      </w:r>
      <w:r w:rsidRPr="00670221">
        <w:rPr>
          <w:lang w:val="en-US"/>
        </w:rPr>
        <w:t xml:space="preserve"> must come from renewable sources for </w:t>
      </w:r>
      <w:proofErr w:type="spellStart"/>
      <w:r w:rsidRPr="00670221">
        <w:rPr>
          <w:lang w:val="en-US"/>
        </w:rPr>
        <w:t>eSAF</w:t>
      </w:r>
      <w:proofErr w:type="spellEnd"/>
      <w:r w:rsidRPr="00670221">
        <w:rPr>
          <w:lang w:val="en-US"/>
        </w:rPr>
        <w:t xml:space="preserve"> production to meet sustainability standards</w:t>
      </w:r>
      <w:r w:rsidR="00D4285B" w:rsidRPr="00670221">
        <w:rPr>
          <w:lang w:val="en-US"/>
        </w:rPr>
        <w:t xml:space="preserve"> if sourced directly from the grid</w:t>
      </w:r>
      <w:r w:rsidRPr="00670221">
        <w:rPr>
          <w:lang w:val="en-US"/>
        </w:rPr>
        <w:t>. This makes countr</w:t>
      </w:r>
      <w:r w:rsidR="007579D2" w:rsidRPr="00670221">
        <w:rPr>
          <w:lang w:val="en-US"/>
        </w:rPr>
        <w:t>ies</w:t>
      </w:r>
      <w:r w:rsidRPr="00670221">
        <w:rPr>
          <w:lang w:val="en-US"/>
        </w:rPr>
        <w:t xml:space="preserve"> like Norway </w:t>
      </w:r>
      <w:r w:rsidR="007579D2" w:rsidRPr="00670221">
        <w:rPr>
          <w:lang w:val="en-US"/>
        </w:rPr>
        <w:t xml:space="preserve">and Iceland </w:t>
      </w:r>
      <w:r w:rsidRPr="00670221">
        <w:rPr>
          <w:lang w:val="en-US"/>
        </w:rPr>
        <w:t>with their renewable-heavy grid</w:t>
      </w:r>
      <w:r w:rsidR="007579D2" w:rsidRPr="00670221">
        <w:rPr>
          <w:lang w:val="en-US"/>
        </w:rPr>
        <w:t>s</w:t>
      </w:r>
      <w:r w:rsidR="004F134A" w:rsidRPr="00670221">
        <w:rPr>
          <w:lang w:val="en-US"/>
        </w:rPr>
        <w:t xml:space="preserve"> </w:t>
      </w:r>
      <w:r w:rsidRPr="00670221">
        <w:rPr>
          <w:lang w:val="en-US"/>
        </w:rPr>
        <w:t>ideal location</w:t>
      </w:r>
      <w:r w:rsidR="007579D2" w:rsidRPr="00670221">
        <w:rPr>
          <w:lang w:val="en-US"/>
        </w:rPr>
        <w:t>s</w:t>
      </w:r>
      <w:r w:rsidRPr="00670221">
        <w:rPr>
          <w:lang w:val="en-US"/>
        </w:rPr>
        <w:t xml:space="preserve"> for these projects. Conversely, regions like Spain and Greece, despite their strong solar potential, may require significant grid infrastructure upgrades to fully support large-scale e-fuel production. The success of e-kerosene projects, therefore, depends on both the availability of renewable energy and the capacity of the infrastructure to manage and utilize it effectively.</w:t>
      </w:r>
    </w:p>
    <w:p w14:paraId="312E8143" w14:textId="1D5AAA8D" w:rsidR="002A219C" w:rsidRPr="00670221" w:rsidRDefault="00ED3CD5" w:rsidP="002A219C">
      <w:pPr>
        <w:pStyle w:val="Heading4"/>
        <w:rPr>
          <w:lang w:val="en-US"/>
        </w:rPr>
      </w:pPr>
      <w:r w:rsidRPr="00670221">
        <w:rPr>
          <w:lang w:val="en-US"/>
        </w:rPr>
        <w:t>Carbon Capture and Utilization Infrastructur</w:t>
      </w:r>
      <w:r w:rsidR="002A219C" w:rsidRPr="00670221">
        <w:rPr>
          <w:lang w:val="en-US"/>
        </w:rPr>
        <w:t>e</w:t>
      </w:r>
    </w:p>
    <w:p w14:paraId="6D8B01A5" w14:textId="4D41FC5A" w:rsidR="009C7805" w:rsidRPr="00670221" w:rsidRDefault="00853480" w:rsidP="009C7805">
      <w:pPr>
        <w:rPr>
          <w:lang w:val="en-US"/>
        </w:rPr>
      </w:pPr>
      <w:r w:rsidRPr="00670221">
        <w:rPr>
          <w:lang w:val="en-US"/>
        </w:rPr>
        <w:t>Figures 3.6 and 3.7 depict potential configurations of the European CO₂ transport network, as envisioned by the European Commission's Joint Research Centre (JRC)</w:t>
      </w:r>
      <w:r w:rsidR="00E05F3A" w:rsidRPr="00670221">
        <w:rPr>
          <w:lang w:val="en-US"/>
        </w:rPr>
        <w:t xml:space="preserve"> (European Commission et al., 2024)</w:t>
      </w:r>
      <w:r w:rsidRPr="00670221">
        <w:rPr>
          <w:lang w:val="en-US"/>
        </w:rPr>
        <w:t xml:space="preserve">. The report underscores the critical gaps in the current CO₂ infrastructure, particularly the absence of commercially proven storage and transport solutions. </w:t>
      </w:r>
      <w:r w:rsidR="00F23166" w:rsidRPr="00670221">
        <w:rPr>
          <w:lang w:val="en-US"/>
        </w:rPr>
        <w:t>Developing a robust network is essential for supporting decarbonization goals</w:t>
      </w:r>
      <w:r w:rsidR="00EE3BEF" w:rsidRPr="00670221">
        <w:rPr>
          <w:lang w:val="en-US"/>
        </w:rPr>
        <w:t>.</w:t>
      </w:r>
    </w:p>
    <w:p w14:paraId="0992CB72" w14:textId="77777777" w:rsidR="009C7805" w:rsidRPr="00670221" w:rsidRDefault="00AA1671" w:rsidP="009C7805">
      <w:pPr>
        <w:keepNext/>
        <w:spacing w:before="0" w:after="0"/>
        <w:jc w:val="center"/>
        <w:rPr>
          <w:lang w:val="en-US"/>
        </w:rPr>
      </w:pPr>
      <w:r w:rsidRPr="00670221">
        <w:rPr>
          <w:lang w:val="en-US"/>
        </w:rPr>
        <w:fldChar w:fldCharType="begin"/>
      </w:r>
      <w:r w:rsidRPr="00670221">
        <w:rPr>
          <w:lang w:val="en-US"/>
        </w:rPr>
        <w:instrText xml:space="preserve"> INCLUDEPICTURE "/Users/taeketamsma/Library/Group Containers/UBF8T346G9.ms/WebArchiveCopyPasteTempFiles/com.microsoft.Word/page30image835739296" \* MERGEFORMATINET </w:instrText>
      </w:r>
      <w:r w:rsidRPr="00670221">
        <w:rPr>
          <w:lang w:val="en-US"/>
        </w:rPr>
        <w:fldChar w:fldCharType="separate"/>
      </w:r>
      <w:r w:rsidRPr="00670221">
        <w:rPr>
          <w:noProof/>
          <w:lang w:val="en-US"/>
        </w:rPr>
        <w:drawing>
          <wp:inline distT="0" distB="0" distL="0" distR="0" wp14:anchorId="0CDCDC31" wp14:editId="59871009">
            <wp:extent cx="2880000" cy="2880000"/>
            <wp:effectExtent l="0" t="0" r="3175" b="3175"/>
            <wp:docPr id="1584648495" name="Picture 4" descr="page30image83573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0image8357392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670221">
        <w:rPr>
          <w:lang w:val="en-US"/>
        </w:rPr>
        <w:fldChar w:fldCharType="end"/>
      </w:r>
    </w:p>
    <w:p w14:paraId="5B2A0205" w14:textId="23466AC5" w:rsidR="00AA1671" w:rsidRPr="00670221" w:rsidRDefault="009C7805" w:rsidP="009C7805">
      <w:pPr>
        <w:pStyle w:val="Caption"/>
        <w:rPr>
          <w:lang w:val="en-US"/>
        </w:rPr>
      </w:pPr>
      <w:bookmarkStart w:id="64" w:name="_Toc184403552"/>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3</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6</w:t>
      </w:r>
      <w:r w:rsidR="002A3EA2" w:rsidRPr="00670221">
        <w:rPr>
          <w:lang w:val="en-US"/>
        </w:rPr>
        <w:fldChar w:fldCharType="end"/>
      </w:r>
      <w:r w:rsidRPr="00670221">
        <w:rPr>
          <w:lang w:val="en-US"/>
        </w:rPr>
        <w:t xml:space="preserve">: European </w:t>
      </w:r>
      <w:r w:rsidR="001759CE" w:rsidRPr="00670221">
        <w:rPr>
          <w:lang w:val="en-US"/>
        </w:rPr>
        <w:t>CO₂</w:t>
      </w:r>
      <w:r w:rsidR="001759CE">
        <w:rPr>
          <w:lang w:val="en-US"/>
        </w:rPr>
        <w:t xml:space="preserve"> </w:t>
      </w:r>
      <w:r w:rsidRPr="00670221">
        <w:rPr>
          <w:lang w:val="en-US"/>
        </w:rPr>
        <w:t>infrastructure for 2030 (</w:t>
      </w:r>
      <w:r w:rsidR="00E05F3A" w:rsidRPr="00670221">
        <w:rPr>
          <w:lang w:val="en-US"/>
        </w:rPr>
        <w:t xml:space="preserve">European </w:t>
      </w:r>
      <w:r w:rsidRPr="00670221">
        <w:rPr>
          <w:lang w:val="en-US"/>
        </w:rPr>
        <w:t>Commission et al., 2024)</w:t>
      </w:r>
      <w:bookmarkEnd w:id="64"/>
    </w:p>
    <w:p w14:paraId="2DCB75FB" w14:textId="77777777" w:rsidR="009C7805" w:rsidRPr="00670221" w:rsidRDefault="00AA1671" w:rsidP="009C7805">
      <w:pPr>
        <w:keepNext/>
        <w:jc w:val="center"/>
        <w:rPr>
          <w:lang w:val="en-US"/>
        </w:rPr>
      </w:pPr>
      <w:r w:rsidRPr="00670221">
        <w:rPr>
          <w:lang w:val="en-US"/>
        </w:rPr>
        <w:lastRenderedPageBreak/>
        <w:fldChar w:fldCharType="begin"/>
      </w:r>
      <w:r w:rsidRPr="00670221">
        <w:rPr>
          <w:lang w:val="en-US"/>
        </w:rPr>
        <w:instrText xml:space="preserve"> INCLUDEPICTURE "/Users/taeketamsma/Library/Group Containers/UBF8T346G9.ms/WebArchiveCopyPasteTempFiles/com.microsoft.Word/page8image835852976" \* MERGEFORMATINET </w:instrText>
      </w:r>
      <w:r w:rsidRPr="00670221">
        <w:rPr>
          <w:lang w:val="en-US"/>
        </w:rPr>
        <w:fldChar w:fldCharType="separate"/>
      </w:r>
      <w:r w:rsidRPr="00670221">
        <w:rPr>
          <w:noProof/>
          <w:lang w:val="en-US"/>
        </w:rPr>
        <w:drawing>
          <wp:inline distT="0" distB="0" distL="0" distR="0" wp14:anchorId="39C18ED7" wp14:editId="712DA60E">
            <wp:extent cx="2880000" cy="2880000"/>
            <wp:effectExtent l="0" t="0" r="3175" b="3175"/>
            <wp:docPr id="529331412" name="Picture 3" descr="page8image835852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age8image8358529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670221">
        <w:rPr>
          <w:lang w:val="en-US"/>
        </w:rPr>
        <w:fldChar w:fldCharType="end"/>
      </w:r>
    </w:p>
    <w:p w14:paraId="38D2E12E" w14:textId="3D75A0FE" w:rsidR="008E3FBD" w:rsidRPr="00670221" w:rsidRDefault="009C7805" w:rsidP="009C7805">
      <w:pPr>
        <w:pStyle w:val="Caption"/>
        <w:rPr>
          <w:lang w:val="en-US"/>
        </w:rPr>
      </w:pPr>
      <w:bookmarkStart w:id="65" w:name="_Toc184403553"/>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3</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7</w:t>
      </w:r>
      <w:r w:rsidR="002A3EA2" w:rsidRPr="00670221">
        <w:rPr>
          <w:lang w:val="en-US"/>
        </w:rPr>
        <w:fldChar w:fldCharType="end"/>
      </w:r>
      <w:r w:rsidRPr="00670221">
        <w:rPr>
          <w:lang w:val="en-US"/>
        </w:rPr>
        <w:t xml:space="preserve">: European </w:t>
      </w:r>
      <w:r w:rsidR="001759CE" w:rsidRPr="00670221">
        <w:rPr>
          <w:lang w:val="en-US"/>
        </w:rPr>
        <w:t>CO₂</w:t>
      </w:r>
      <w:r w:rsidRPr="00670221">
        <w:rPr>
          <w:lang w:val="en-US"/>
        </w:rPr>
        <w:t xml:space="preserve"> infrastructure for 2050 (</w:t>
      </w:r>
      <w:r w:rsidR="00E05F3A" w:rsidRPr="00670221">
        <w:rPr>
          <w:lang w:val="en-US"/>
        </w:rPr>
        <w:t xml:space="preserve">European </w:t>
      </w:r>
      <w:r w:rsidRPr="00670221">
        <w:rPr>
          <w:lang w:val="en-US"/>
        </w:rPr>
        <w:t>Commission et al., 2024)</w:t>
      </w:r>
      <w:bookmarkEnd w:id="65"/>
    </w:p>
    <w:p w14:paraId="085AAC76" w14:textId="3B1A3D70" w:rsidR="00A55A67" w:rsidRPr="00670221" w:rsidRDefault="00D83C9C" w:rsidP="00C520BE">
      <w:pPr>
        <w:rPr>
          <w:lang w:val="en-US"/>
        </w:rPr>
      </w:pPr>
      <w:r w:rsidRPr="00670221">
        <w:rPr>
          <w:lang w:val="en-US"/>
        </w:rPr>
        <w:t xml:space="preserve">By comparing figure 3.5 with 3.7, </w:t>
      </w:r>
      <w:r w:rsidR="00FE6F10" w:rsidRPr="00670221">
        <w:rPr>
          <w:lang w:val="en-US"/>
        </w:rPr>
        <w:t xml:space="preserve">similarities in the network structure between current </w:t>
      </w:r>
      <w:proofErr w:type="spellStart"/>
      <w:r w:rsidR="00FE6F10" w:rsidRPr="00670221">
        <w:rPr>
          <w:lang w:val="en-US"/>
        </w:rPr>
        <w:t>eSAF</w:t>
      </w:r>
      <w:proofErr w:type="spellEnd"/>
      <w:r w:rsidR="00FE6F10" w:rsidRPr="00670221">
        <w:rPr>
          <w:lang w:val="en-US"/>
        </w:rPr>
        <w:t xml:space="preserve"> developments and the envisioned 2050 carbon infrastructure can be seen.</w:t>
      </w:r>
      <w:r w:rsidRPr="00670221">
        <w:rPr>
          <w:lang w:val="en-US"/>
        </w:rPr>
        <w:t xml:space="preserve"> However, </w:t>
      </w:r>
      <w:r w:rsidR="00A55A67" w:rsidRPr="00670221">
        <w:rPr>
          <w:lang w:val="en-US"/>
        </w:rPr>
        <w:t xml:space="preserve">the current infrastructure remains underdeveloped, as highlighted by the map for 2030. This lack of established carbon pipelines and storage facilities results in CO₂ being transported using expensive methods such as trucking, which significantly increases operational costs. Direct </w:t>
      </w:r>
      <w:r w:rsidR="004A0212" w:rsidRPr="00670221">
        <w:rPr>
          <w:lang w:val="en-US"/>
        </w:rPr>
        <w:t>a</w:t>
      </w:r>
      <w:r w:rsidR="00A55A67" w:rsidRPr="00670221">
        <w:rPr>
          <w:lang w:val="en-US"/>
        </w:rPr>
        <w:t xml:space="preserve">ir </w:t>
      </w:r>
      <w:r w:rsidR="004A0212" w:rsidRPr="00670221">
        <w:rPr>
          <w:lang w:val="en-US"/>
        </w:rPr>
        <w:t>c</w:t>
      </w:r>
      <w:r w:rsidR="00A55A67" w:rsidRPr="00670221">
        <w:rPr>
          <w:lang w:val="en-US"/>
        </w:rPr>
        <w:t>apture is most effective in regions with limited biogenic sources, where CO₂ is not readily available from point sources or pipelines. By minimizing reliance on expensive transportation, DAC can streamline the integration of captured CO₂ into sustainable fuel production, making it a more viable solution in areas where carbon infrastructure is still developing.</w:t>
      </w:r>
    </w:p>
    <w:p w14:paraId="131EFA71" w14:textId="2DC4CCDC" w:rsidR="002A219C" w:rsidRPr="00670221" w:rsidRDefault="00ED3CD5" w:rsidP="00342D5A">
      <w:pPr>
        <w:pStyle w:val="Heading4"/>
        <w:rPr>
          <w:lang w:val="en-US"/>
        </w:rPr>
      </w:pPr>
      <w:r w:rsidRPr="00670221">
        <w:rPr>
          <w:lang w:val="en-US"/>
        </w:rPr>
        <w:t>Fueling Infrastructure</w:t>
      </w:r>
    </w:p>
    <w:p w14:paraId="6520FD33" w14:textId="4C7FBBF7" w:rsidR="006032BB" w:rsidRPr="00670221" w:rsidRDefault="006032BB" w:rsidP="00ED3CD5">
      <w:pPr>
        <w:rPr>
          <w:lang w:val="en-US"/>
        </w:rPr>
      </w:pPr>
      <w:r w:rsidRPr="00670221">
        <w:rPr>
          <w:lang w:val="en-US"/>
        </w:rPr>
        <w:t xml:space="preserve">Airports with significant traffic, such as those in Germany, France, and the Netherlands, are already equipped with the necessary fueling infrastructure to accommodate the blending and storage of e-kerosene. Major airports like Schiphol (Amsterdam) and Frankfurt present strategic locations for </w:t>
      </w:r>
      <w:proofErr w:type="spellStart"/>
      <w:r w:rsidRPr="00670221">
        <w:rPr>
          <w:lang w:val="en-US"/>
        </w:rPr>
        <w:t>eSAF</w:t>
      </w:r>
      <w:proofErr w:type="spellEnd"/>
      <w:r w:rsidRPr="00670221">
        <w:rPr>
          <w:lang w:val="en-US"/>
        </w:rPr>
        <w:t xml:space="preserve"> projects, reducing the distance between production and distribution, which minimizes transportation costs. Additionally, many </w:t>
      </w:r>
      <w:proofErr w:type="spellStart"/>
      <w:r w:rsidRPr="00670221">
        <w:rPr>
          <w:lang w:val="en-US"/>
        </w:rPr>
        <w:t>eSAF</w:t>
      </w:r>
      <w:proofErr w:type="spellEnd"/>
      <w:r w:rsidRPr="00670221">
        <w:rPr>
          <w:lang w:val="en-US"/>
        </w:rPr>
        <w:t xml:space="preserve"> projects </w:t>
      </w:r>
      <w:r w:rsidR="00DB10A7" w:rsidRPr="00670221">
        <w:rPr>
          <w:lang w:val="en-US"/>
        </w:rPr>
        <w:t>are in</w:t>
      </w:r>
      <w:r w:rsidRPr="00670221">
        <w:rPr>
          <w:lang w:val="en-US"/>
        </w:rPr>
        <w:t xml:space="preserve"> coastal regions, where fuels can be easily shipped to other parts of Europe, further simplifying logistics. This coastal positioning also supports flexibility in distributing e-kerosene to regions that may lack direct pipeline connections, ensuring a more efficient supply chain.</w:t>
      </w:r>
    </w:p>
    <w:p w14:paraId="29FFF41E" w14:textId="77777777" w:rsidR="00580E2E" w:rsidRPr="00670221" w:rsidRDefault="00580E2E" w:rsidP="00580E2E">
      <w:pPr>
        <w:pStyle w:val="Heading4"/>
        <w:rPr>
          <w:lang w:val="en-US"/>
        </w:rPr>
      </w:pPr>
      <w:r w:rsidRPr="00670221">
        <w:rPr>
          <w:lang w:val="en-US"/>
        </w:rPr>
        <w:t>Local and National Policy</w:t>
      </w:r>
    </w:p>
    <w:p w14:paraId="506448A7" w14:textId="23763493" w:rsidR="00F74607" w:rsidRPr="00670221" w:rsidRDefault="00580E2E" w:rsidP="00580E2E">
      <w:pPr>
        <w:rPr>
          <w:lang w:val="en-US"/>
        </w:rPr>
      </w:pPr>
      <w:r w:rsidRPr="00670221">
        <w:rPr>
          <w:lang w:val="en-US"/>
        </w:rPr>
        <w:t xml:space="preserve">The success of e-kerosene projects is closely tied to the strength of local and national policies that support renewable energy and sustainable aviation fuel. Countries like Germany and </w:t>
      </w:r>
      <w:r w:rsidR="00DB10A7" w:rsidRPr="00670221">
        <w:rPr>
          <w:lang w:val="en-US"/>
        </w:rPr>
        <w:t>Portugal have</w:t>
      </w:r>
      <w:r w:rsidRPr="00670221">
        <w:rPr>
          <w:lang w:val="en-US"/>
        </w:rPr>
        <w:t xml:space="preserve"> already implemented SAF regulations or incentive programs, providing critical financial and regulatory backing to accelerate project development. In contrast, regions like Italy may face delays due to less mature policy frameworks. The presence of effective local and national policy networks significantly influences the speed and scale at which these projects can advance.</w:t>
      </w:r>
    </w:p>
    <w:p w14:paraId="787CE415" w14:textId="44BDB6AF" w:rsidR="00F74607" w:rsidRPr="00670221" w:rsidRDefault="00F74607" w:rsidP="00F74607">
      <w:pPr>
        <w:pStyle w:val="Heading4"/>
        <w:rPr>
          <w:lang w:val="en-US"/>
        </w:rPr>
      </w:pPr>
      <w:r w:rsidRPr="00670221">
        <w:rPr>
          <w:lang w:val="en-US"/>
        </w:rPr>
        <w:lastRenderedPageBreak/>
        <w:t>Actor Network</w:t>
      </w:r>
    </w:p>
    <w:p w14:paraId="6D3566AF" w14:textId="5643F021" w:rsidR="00F74607" w:rsidRPr="00670221" w:rsidRDefault="00F74607" w:rsidP="00F74607">
      <w:pPr>
        <w:rPr>
          <w:lang w:val="en-US"/>
        </w:rPr>
      </w:pPr>
      <w:r w:rsidRPr="00670221">
        <w:rPr>
          <w:lang w:val="en-US"/>
        </w:rPr>
        <w:t xml:space="preserve">For this analysis, data from the Transport and Environment report on announced </w:t>
      </w:r>
      <w:proofErr w:type="spellStart"/>
      <w:r w:rsidRPr="00670221">
        <w:rPr>
          <w:lang w:val="en-US"/>
        </w:rPr>
        <w:t>eSAF</w:t>
      </w:r>
      <w:proofErr w:type="spellEnd"/>
      <w:r w:rsidRPr="00670221">
        <w:rPr>
          <w:lang w:val="en-US"/>
        </w:rPr>
        <w:t xml:space="preserve"> projects in the EU were used (</w:t>
      </w:r>
      <w:proofErr w:type="spellStart"/>
      <w:r w:rsidRPr="00670221">
        <w:rPr>
          <w:lang w:val="en-US"/>
        </w:rPr>
        <w:t>Mutrelle</w:t>
      </w:r>
      <w:proofErr w:type="spellEnd"/>
      <w:r w:rsidRPr="00670221">
        <w:rPr>
          <w:lang w:val="en-US"/>
        </w:rPr>
        <w:t xml:space="preserve">, 2024). Each participant in these projects was categorized according to specific roles defined in the actor analysis, such as airline, fuel distributor, energy provider, and knowledge institute. The interactions between these roles within each project were then mapped to analyze the connections between different types of actors across multiple projects. A pivot table (located in Appendix </w:t>
      </w:r>
      <w:r w:rsidR="00F94CE8" w:rsidRPr="00670221">
        <w:rPr>
          <w:lang w:val="en-US"/>
        </w:rPr>
        <w:t>G</w:t>
      </w:r>
      <w:r w:rsidRPr="00670221">
        <w:rPr>
          <w:lang w:val="en-US"/>
        </w:rPr>
        <w:t>) was used to quantify the frequency of these role-based collaborations, identifying the most common interactions. The full dataset used in this analysis is available in the supplementary materials.</w:t>
      </w:r>
    </w:p>
    <w:p w14:paraId="1A47C9E6" w14:textId="77777777" w:rsidR="00F74607" w:rsidRPr="00670221" w:rsidRDefault="00F74607" w:rsidP="00F74607">
      <w:pPr>
        <w:rPr>
          <w:lang w:val="en-US"/>
        </w:rPr>
      </w:pPr>
    </w:p>
    <w:p w14:paraId="75C98CE7" w14:textId="77777777" w:rsidR="008977B2" w:rsidRPr="00670221" w:rsidRDefault="008977B2" w:rsidP="008977B2">
      <w:pPr>
        <w:keepNext/>
        <w:jc w:val="center"/>
        <w:rPr>
          <w:lang w:val="en-US"/>
        </w:rPr>
      </w:pPr>
      <w:r w:rsidRPr="00670221">
        <w:rPr>
          <w:noProof/>
          <w:lang w:val="en-US"/>
        </w:rPr>
        <w:drawing>
          <wp:inline distT="0" distB="0" distL="0" distR="0" wp14:anchorId="1CEDC6F4" wp14:editId="29DD4834">
            <wp:extent cx="5085348" cy="3814011"/>
            <wp:effectExtent l="0" t="0" r="0" b="0"/>
            <wp:docPr id="663420116" name="Picture 27"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20116" name="Picture 27" descr="A diagram of a network&#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120433" cy="3840325"/>
                    </a:xfrm>
                    <a:prstGeom prst="rect">
                      <a:avLst/>
                    </a:prstGeom>
                  </pic:spPr>
                </pic:pic>
              </a:graphicData>
            </a:graphic>
          </wp:inline>
        </w:drawing>
      </w:r>
    </w:p>
    <w:p w14:paraId="60B59AE7" w14:textId="16C6D639" w:rsidR="008977B2" w:rsidRPr="00670221" w:rsidRDefault="008977B2" w:rsidP="008977B2">
      <w:pPr>
        <w:pStyle w:val="Caption"/>
        <w:rPr>
          <w:lang w:val="en-US"/>
        </w:rPr>
      </w:pPr>
      <w:bookmarkStart w:id="66" w:name="_Toc184403554"/>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3</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8</w:t>
      </w:r>
      <w:r w:rsidR="002A3EA2" w:rsidRPr="00670221">
        <w:rPr>
          <w:lang w:val="en-US"/>
        </w:rPr>
        <w:fldChar w:fldCharType="end"/>
      </w:r>
      <w:r w:rsidRPr="00670221">
        <w:rPr>
          <w:lang w:val="en-US"/>
        </w:rPr>
        <w:t xml:space="preserve">: </w:t>
      </w:r>
      <w:proofErr w:type="spellStart"/>
      <w:r w:rsidRPr="00670221">
        <w:rPr>
          <w:lang w:val="en-US"/>
        </w:rPr>
        <w:t>Fruchterman</w:t>
      </w:r>
      <w:proofErr w:type="spellEnd"/>
      <w:r w:rsidRPr="00670221">
        <w:rPr>
          <w:lang w:val="en-US"/>
        </w:rPr>
        <w:t xml:space="preserve"> Reingold layout representing the network of the European </w:t>
      </w:r>
      <w:proofErr w:type="spellStart"/>
      <w:r w:rsidRPr="00670221">
        <w:rPr>
          <w:lang w:val="en-US"/>
        </w:rPr>
        <w:t>eSAF</w:t>
      </w:r>
      <w:proofErr w:type="spellEnd"/>
      <w:r w:rsidRPr="00670221">
        <w:rPr>
          <w:lang w:val="en-US"/>
        </w:rPr>
        <w:t xml:space="preserve"> projects</w:t>
      </w:r>
      <w:bookmarkEnd w:id="66"/>
    </w:p>
    <w:p w14:paraId="361598F5" w14:textId="733667B5" w:rsidR="008977B2" w:rsidRPr="00670221" w:rsidRDefault="00F74607" w:rsidP="00F74607">
      <w:pPr>
        <w:rPr>
          <w:lang w:val="en-US"/>
        </w:rPr>
      </w:pPr>
      <w:r w:rsidRPr="00670221">
        <w:rPr>
          <w:lang w:val="en-US"/>
        </w:rPr>
        <w:t xml:space="preserve">The role-based network data were subsequently imported into Gephi, where the </w:t>
      </w:r>
      <w:proofErr w:type="spellStart"/>
      <w:r w:rsidRPr="00670221">
        <w:rPr>
          <w:lang w:val="en-US"/>
        </w:rPr>
        <w:t>Fruchterman</w:t>
      </w:r>
      <w:proofErr w:type="spellEnd"/>
      <w:r w:rsidRPr="00670221">
        <w:rPr>
          <w:lang w:val="en-US"/>
        </w:rPr>
        <w:t xml:space="preserve">-Reingold layout was applied to visualize the network structure. In this visualization, nodes represent the roles identified during the actor analysis, and the thickness of the edges between them reflects the frequency of collaboration within the </w:t>
      </w:r>
      <w:proofErr w:type="spellStart"/>
      <w:r w:rsidRPr="00670221">
        <w:rPr>
          <w:lang w:val="en-US"/>
        </w:rPr>
        <w:t>eSAF</w:t>
      </w:r>
      <w:proofErr w:type="spellEnd"/>
      <w:r w:rsidRPr="00670221">
        <w:rPr>
          <w:lang w:val="en-US"/>
        </w:rPr>
        <w:t xml:space="preserve"> projects.</w:t>
      </w:r>
      <w:r w:rsidR="006C64D7" w:rsidRPr="00670221">
        <w:rPr>
          <w:lang w:val="en-US"/>
        </w:rPr>
        <w:t xml:space="preserve"> </w:t>
      </w:r>
      <w:r w:rsidR="00777FBB" w:rsidRPr="00670221">
        <w:rPr>
          <w:lang w:val="en-US"/>
        </w:rPr>
        <w:t>Thicker</w:t>
      </w:r>
      <w:r w:rsidRPr="00670221">
        <w:rPr>
          <w:lang w:val="en-US"/>
        </w:rPr>
        <w:t xml:space="preserve"> edges indicate stronger, more frequent connections between roles, providing a clear representation of the most prominent interactions within the EU </w:t>
      </w:r>
      <w:proofErr w:type="spellStart"/>
      <w:r w:rsidRPr="00670221">
        <w:rPr>
          <w:lang w:val="en-US"/>
        </w:rPr>
        <w:t>eSAF</w:t>
      </w:r>
      <w:proofErr w:type="spellEnd"/>
      <w:r w:rsidRPr="00670221">
        <w:rPr>
          <w:lang w:val="en-US"/>
        </w:rPr>
        <w:t xml:space="preserve"> network. This approach allowed for an effective visualization of the relationships between key actors, highlighting the central roles and the intensity of their collaborations within the ecosystem.</w:t>
      </w:r>
    </w:p>
    <w:p w14:paraId="4DE926D7" w14:textId="38F97F58" w:rsidR="00F74607" w:rsidRPr="00670221" w:rsidRDefault="00F74607" w:rsidP="00F74607">
      <w:pPr>
        <w:rPr>
          <w:lang w:val="en-US"/>
        </w:rPr>
      </w:pPr>
      <w:r w:rsidRPr="00670221">
        <w:rPr>
          <w:lang w:val="en-US"/>
        </w:rPr>
        <w:t>The network graph shows Fuel Conversion Technology Providers</w:t>
      </w:r>
      <w:r w:rsidR="00A95D2D" w:rsidRPr="00670221">
        <w:rPr>
          <w:lang w:val="en-US"/>
        </w:rPr>
        <w:t xml:space="preserve"> (135)</w:t>
      </w:r>
      <w:r w:rsidRPr="00670221">
        <w:rPr>
          <w:lang w:val="en-US"/>
        </w:rPr>
        <w:t>, Knowledge Institutes</w:t>
      </w:r>
      <w:r w:rsidR="00A95D2D" w:rsidRPr="00670221">
        <w:rPr>
          <w:lang w:val="en-US"/>
        </w:rPr>
        <w:t xml:space="preserve"> (128) and Airlines (102)</w:t>
      </w:r>
      <w:r w:rsidRPr="00670221">
        <w:rPr>
          <w:lang w:val="en-US"/>
        </w:rPr>
        <w:t xml:space="preserve"> as the most prominent roles, with the highest number of connections, indicating their central importance in </w:t>
      </w:r>
      <w:proofErr w:type="spellStart"/>
      <w:r w:rsidRPr="00670221">
        <w:rPr>
          <w:lang w:val="en-US"/>
        </w:rPr>
        <w:t>eSAF</w:t>
      </w:r>
      <w:proofErr w:type="spellEnd"/>
      <w:r w:rsidRPr="00670221">
        <w:rPr>
          <w:lang w:val="en-US"/>
        </w:rPr>
        <w:t xml:space="preserve"> projects. Strong connections between Airlines, Energy Providers, Feedstock Suppliers, and Infrastructure highlight the close collaboration needed across the supply chain for successful </w:t>
      </w:r>
      <w:proofErr w:type="spellStart"/>
      <w:r w:rsidRPr="00670221">
        <w:rPr>
          <w:lang w:val="en-US"/>
        </w:rPr>
        <w:t>eSAF</w:t>
      </w:r>
      <w:proofErr w:type="spellEnd"/>
      <w:r w:rsidRPr="00670221">
        <w:rPr>
          <w:lang w:val="en-US"/>
        </w:rPr>
        <w:t xml:space="preserve"> production and use. Knowledge Institutes </w:t>
      </w:r>
      <w:r w:rsidRPr="00670221">
        <w:rPr>
          <w:lang w:val="en-US"/>
        </w:rPr>
        <w:lastRenderedPageBreak/>
        <w:t>also play a key role in fostering innovation and development, connecting with various actors to support the projects.</w:t>
      </w:r>
      <w:r w:rsidR="00F812E1">
        <w:rPr>
          <w:lang w:val="en-US"/>
        </w:rPr>
        <w:t xml:space="preserve"> </w:t>
      </w:r>
      <w:r w:rsidR="00F812E1" w:rsidRPr="00F812E1">
        <w:rPr>
          <w:lang w:val="en-US"/>
        </w:rPr>
        <w:t>T</w:t>
      </w:r>
      <w:r w:rsidR="00F812E1">
        <w:rPr>
          <w:lang w:val="en-US"/>
        </w:rPr>
        <w:t>hese</w:t>
      </w:r>
      <w:r w:rsidR="00F812E1" w:rsidRPr="00F812E1">
        <w:rPr>
          <w:lang w:val="en-US"/>
        </w:rPr>
        <w:t xml:space="preserve"> collaboration</w:t>
      </w:r>
      <w:r w:rsidR="00F812E1">
        <w:rPr>
          <w:lang w:val="en-US"/>
        </w:rPr>
        <w:t>s</w:t>
      </w:r>
      <w:r w:rsidR="00F812E1" w:rsidRPr="00F812E1">
        <w:rPr>
          <w:lang w:val="en-US"/>
        </w:rPr>
        <w:t xml:space="preserve"> </w:t>
      </w:r>
      <w:r w:rsidR="00F812E1">
        <w:rPr>
          <w:lang w:val="en-US"/>
        </w:rPr>
        <w:t xml:space="preserve">are </w:t>
      </w:r>
      <w:r w:rsidR="00F812E1" w:rsidRPr="00F812E1">
        <w:rPr>
          <w:lang w:val="en-US"/>
        </w:rPr>
        <w:t>further supported by the webinar speakers, representing fuel conversion companies (Twelve), airlines (Alaska Airlines and Swiss Airlines), knowledge institutes (ETH Zurich), supporting organizations (IATA and RSB), and feedstock suppliers (</w:t>
      </w:r>
      <w:proofErr w:type="spellStart"/>
      <w:r w:rsidR="00F812E1" w:rsidRPr="00F812E1">
        <w:rPr>
          <w:lang w:val="en-US"/>
        </w:rPr>
        <w:t>Climeworks</w:t>
      </w:r>
      <w:proofErr w:type="spellEnd"/>
      <w:r w:rsidR="00F812E1" w:rsidRPr="00F812E1">
        <w:rPr>
          <w:lang w:val="en-US"/>
        </w:rPr>
        <w:t>) (Appendix E; Appendix F).</w:t>
      </w:r>
    </w:p>
    <w:p w14:paraId="39ADD1DB" w14:textId="77777777" w:rsidR="00387EB6" w:rsidRPr="00670221" w:rsidRDefault="00387EB6" w:rsidP="00F74607">
      <w:pPr>
        <w:rPr>
          <w:lang w:val="en-US"/>
        </w:rPr>
      </w:pPr>
    </w:p>
    <w:p w14:paraId="3C70DB6B" w14:textId="555E9F04" w:rsidR="00C348B9" w:rsidRPr="00670221" w:rsidRDefault="00C336B0" w:rsidP="00C348B9">
      <w:pPr>
        <w:pStyle w:val="Heading2"/>
      </w:pPr>
      <w:bookmarkStart w:id="67" w:name="_Toc184403441"/>
      <w:r w:rsidRPr="00670221">
        <w:t>Criteri</w:t>
      </w:r>
      <w:r w:rsidR="00C348B9" w:rsidRPr="00670221">
        <w:t>a</w:t>
      </w:r>
      <w:bookmarkEnd w:id="67"/>
    </w:p>
    <w:p w14:paraId="498ACD0C" w14:textId="59346291" w:rsidR="0060489D" w:rsidRPr="00670221" w:rsidRDefault="0060489D" w:rsidP="0060489D">
      <w:pPr>
        <w:rPr>
          <w:lang w:val="en-US"/>
        </w:rPr>
      </w:pPr>
      <w:r w:rsidRPr="00670221">
        <w:rPr>
          <w:lang w:val="en-US"/>
        </w:rPr>
        <w:t>To identify the most suitable technology, criteria were developed based on the problem statement and insights from the technology, actor, policy, and network analyses. These criteria were categorized into technical and non-technical types. Technical criteria assessed specific technological components, such as energy sources, electrolysis methods, and fuel synthesis processes. While some criteria, such as policy alignment, were not purely technical, they were included to evaluate the feasibility of technological components within the socio-technical context.</w:t>
      </w:r>
      <w:r w:rsidR="00EC2527" w:rsidRPr="00670221">
        <w:rPr>
          <w:lang w:val="en-US"/>
        </w:rPr>
        <w:t xml:space="preserve"> Non-technical criteria addressed broader socio-technical factors necessary for successful implementation.</w:t>
      </w:r>
    </w:p>
    <w:p w14:paraId="05D55093" w14:textId="14E06469" w:rsidR="009C3B9A" w:rsidRPr="00670221" w:rsidRDefault="0060489D" w:rsidP="009C3B9A">
      <w:pPr>
        <w:rPr>
          <w:lang w:val="en-US"/>
        </w:rPr>
      </w:pPr>
      <w:r w:rsidRPr="00670221">
        <w:rPr>
          <w:lang w:val="en-US"/>
        </w:rPr>
        <w:t xml:space="preserve">Each </w:t>
      </w:r>
      <w:r w:rsidR="002F585F" w:rsidRPr="00670221">
        <w:rPr>
          <w:lang w:val="en-US"/>
        </w:rPr>
        <w:t>technol</w:t>
      </w:r>
      <w:r w:rsidR="00CD321F" w:rsidRPr="00670221">
        <w:rPr>
          <w:lang w:val="en-US"/>
        </w:rPr>
        <w:t xml:space="preserve">ogical </w:t>
      </w:r>
      <w:r w:rsidRPr="00670221">
        <w:rPr>
          <w:lang w:val="en-US"/>
        </w:rPr>
        <w:t>component was scored on a scale—excellent, moderate, concern, or critical—based on how well it met the</w:t>
      </w:r>
      <w:r w:rsidR="00CD321F" w:rsidRPr="00670221">
        <w:rPr>
          <w:lang w:val="en-US"/>
        </w:rPr>
        <w:t xml:space="preserve"> technical</w:t>
      </w:r>
      <w:r w:rsidRPr="00670221">
        <w:rPr>
          <w:lang w:val="en-US"/>
        </w:rPr>
        <w:t xml:space="preserve"> criteria. </w:t>
      </w:r>
      <w:r w:rsidR="00CD321F" w:rsidRPr="00670221">
        <w:rPr>
          <w:lang w:val="en-US"/>
        </w:rPr>
        <w:t>These</w:t>
      </w:r>
      <w:r w:rsidRPr="00670221">
        <w:rPr>
          <w:lang w:val="en-US"/>
        </w:rPr>
        <w:t xml:space="preserve"> criteria held equal weight, and components were evaluated relative to each other. A "critical" score led to exclusion from further analysis. Aggregated scores identified the most favorable options for further consideration in the </w:t>
      </w:r>
      <w:r w:rsidR="006E3CAB" w:rsidRPr="00670221">
        <w:rPr>
          <w:lang w:val="en-US"/>
        </w:rPr>
        <w:t>t</w:t>
      </w:r>
      <w:r w:rsidRPr="00670221">
        <w:rPr>
          <w:lang w:val="en-US"/>
        </w:rPr>
        <w:t>echno-</w:t>
      </w:r>
      <w:r w:rsidR="006E3CAB" w:rsidRPr="00670221">
        <w:rPr>
          <w:lang w:val="en-US"/>
        </w:rPr>
        <w:t>ec</w:t>
      </w:r>
      <w:r w:rsidRPr="00670221">
        <w:rPr>
          <w:lang w:val="en-US"/>
        </w:rPr>
        <w:t xml:space="preserve">onomic </w:t>
      </w:r>
      <w:r w:rsidR="006E3CAB" w:rsidRPr="00670221">
        <w:rPr>
          <w:lang w:val="en-US"/>
        </w:rPr>
        <w:t>a</w:t>
      </w:r>
      <w:r w:rsidRPr="00670221">
        <w:rPr>
          <w:lang w:val="en-US"/>
        </w:rPr>
        <w:t xml:space="preserve">ssessment, with lower scores indicating higher suitability. </w:t>
      </w:r>
    </w:p>
    <w:tbl>
      <w:tblPr>
        <w:tblStyle w:val="TableGrid"/>
        <w:tblW w:w="5000" w:type="pct"/>
        <w:tblLook w:val="04A0" w:firstRow="1" w:lastRow="0" w:firstColumn="1" w:lastColumn="0" w:noHBand="0" w:noVBand="1"/>
      </w:tblPr>
      <w:tblGrid>
        <w:gridCol w:w="2264"/>
        <w:gridCol w:w="1688"/>
        <w:gridCol w:w="1688"/>
        <w:gridCol w:w="1688"/>
        <w:gridCol w:w="1688"/>
      </w:tblGrid>
      <w:tr w:rsidR="009C3B9A" w:rsidRPr="00670221" w14:paraId="0FD7127B" w14:textId="77777777" w:rsidTr="00113A6D">
        <w:trPr>
          <w:trHeight w:val="455"/>
        </w:trPr>
        <w:tc>
          <w:tcPr>
            <w:tcW w:w="1256" w:type="pct"/>
          </w:tcPr>
          <w:p w14:paraId="6380B91E" w14:textId="77777777" w:rsidR="009C3B9A" w:rsidRPr="00670221" w:rsidRDefault="009C3B9A" w:rsidP="00113A6D">
            <w:pPr>
              <w:rPr>
                <w:sz w:val="20"/>
                <w:szCs w:val="20"/>
                <w:lang w:val="en-US"/>
              </w:rPr>
            </w:pPr>
            <w:r w:rsidRPr="00670221">
              <w:rPr>
                <w:sz w:val="20"/>
                <w:szCs w:val="20"/>
                <w:lang w:val="en-US"/>
              </w:rPr>
              <w:t>Color code</w:t>
            </w:r>
          </w:p>
        </w:tc>
        <w:tc>
          <w:tcPr>
            <w:tcW w:w="936" w:type="pct"/>
            <w:shd w:val="clear" w:color="auto" w:fill="92D050"/>
          </w:tcPr>
          <w:p w14:paraId="5C4AAA0F" w14:textId="77777777" w:rsidR="009C3B9A" w:rsidRPr="00670221" w:rsidRDefault="009C3B9A" w:rsidP="00113A6D">
            <w:pPr>
              <w:jc w:val="center"/>
              <w:rPr>
                <w:color w:val="000000" w:themeColor="text1"/>
                <w:sz w:val="20"/>
                <w:szCs w:val="20"/>
                <w:lang w:val="en-US"/>
              </w:rPr>
            </w:pPr>
            <w:r w:rsidRPr="00670221">
              <w:rPr>
                <w:color w:val="000000" w:themeColor="text1"/>
                <w:sz w:val="20"/>
                <w:szCs w:val="20"/>
                <w:lang w:val="en-US"/>
              </w:rPr>
              <w:t>Excellent (0)</w:t>
            </w:r>
          </w:p>
        </w:tc>
        <w:tc>
          <w:tcPr>
            <w:tcW w:w="936" w:type="pct"/>
            <w:shd w:val="clear" w:color="auto" w:fill="FFFF00"/>
          </w:tcPr>
          <w:p w14:paraId="376AEC73" w14:textId="77777777" w:rsidR="009C3B9A" w:rsidRPr="00670221" w:rsidRDefault="009C3B9A" w:rsidP="00113A6D">
            <w:pPr>
              <w:jc w:val="center"/>
              <w:rPr>
                <w:color w:val="000000" w:themeColor="text1"/>
                <w:sz w:val="20"/>
                <w:szCs w:val="20"/>
                <w:lang w:val="en-US"/>
              </w:rPr>
            </w:pPr>
            <w:r w:rsidRPr="00670221">
              <w:rPr>
                <w:color w:val="000000" w:themeColor="text1"/>
                <w:sz w:val="20"/>
                <w:szCs w:val="20"/>
                <w:lang w:val="en-US"/>
              </w:rPr>
              <w:t>Moderate (1)</w:t>
            </w:r>
          </w:p>
        </w:tc>
        <w:tc>
          <w:tcPr>
            <w:tcW w:w="936" w:type="pct"/>
            <w:shd w:val="clear" w:color="auto" w:fill="FFC000"/>
          </w:tcPr>
          <w:p w14:paraId="1BFDB9F1" w14:textId="77777777" w:rsidR="009C3B9A" w:rsidRPr="00670221" w:rsidRDefault="009C3B9A" w:rsidP="00113A6D">
            <w:pPr>
              <w:jc w:val="center"/>
              <w:rPr>
                <w:sz w:val="20"/>
                <w:szCs w:val="20"/>
                <w:lang w:val="en-US"/>
              </w:rPr>
            </w:pPr>
            <w:r w:rsidRPr="00670221">
              <w:rPr>
                <w:sz w:val="20"/>
                <w:szCs w:val="20"/>
                <w:lang w:val="en-US"/>
              </w:rPr>
              <w:t>Concern (2)</w:t>
            </w:r>
          </w:p>
        </w:tc>
        <w:tc>
          <w:tcPr>
            <w:tcW w:w="936" w:type="pct"/>
            <w:shd w:val="clear" w:color="auto" w:fill="FF0000"/>
          </w:tcPr>
          <w:p w14:paraId="6FD314EF" w14:textId="5ECAA256" w:rsidR="009C3B9A" w:rsidRPr="00670221" w:rsidRDefault="009C3B9A" w:rsidP="00113A6D">
            <w:pPr>
              <w:keepNext/>
              <w:jc w:val="center"/>
              <w:rPr>
                <w:sz w:val="20"/>
                <w:szCs w:val="20"/>
                <w:lang w:val="en-US"/>
              </w:rPr>
            </w:pPr>
            <w:r w:rsidRPr="00670221">
              <w:rPr>
                <w:sz w:val="20"/>
                <w:szCs w:val="20"/>
                <w:lang w:val="en-US"/>
              </w:rPr>
              <w:t>Critical (</w:t>
            </w:r>
            <w:r w:rsidR="00217C01" w:rsidRPr="00670221">
              <w:rPr>
                <w:sz w:val="20"/>
                <w:szCs w:val="20"/>
                <w:lang w:val="en-US"/>
              </w:rPr>
              <w:t>3</w:t>
            </w:r>
            <w:r w:rsidRPr="00670221">
              <w:rPr>
                <w:sz w:val="20"/>
                <w:szCs w:val="20"/>
                <w:lang w:val="en-US"/>
              </w:rPr>
              <w:t>)</w:t>
            </w:r>
          </w:p>
        </w:tc>
      </w:tr>
    </w:tbl>
    <w:p w14:paraId="48ECC3B0" w14:textId="1765BD13" w:rsidR="009C3B9A" w:rsidRPr="00670221" w:rsidRDefault="009C3B9A" w:rsidP="009C3B9A">
      <w:pPr>
        <w:pStyle w:val="Caption"/>
        <w:rPr>
          <w:lang w:val="en-US"/>
        </w:rPr>
      </w:pPr>
      <w:bookmarkStart w:id="68" w:name="_Toc184403585"/>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3</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3</w:t>
      </w:r>
      <w:r w:rsidR="00EF60A5" w:rsidRPr="00670221">
        <w:rPr>
          <w:lang w:val="en-US"/>
        </w:rPr>
        <w:fldChar w:fldCharType="end"/>
      </w:r>
      <w:r w:rsidRPr="00670221">
        <w:rPr>
          <w:lang w:val="en-US"/>
        </w:rPr>
        <w:t>: Color-coded scoring system scale</w:t>
      </w:r>
      <w:bookmarkEnd w:id="68"/>
    </w:p>
    <w:p w14:paraId="26BB987A" w14:textId="77777777" w:rsidR="009C3B9A" w:rsidRPr="00670221" w:rsidRDefault="009C3B9A" w:rsidP="0060489D">
      <w:pPr>
        <w:rPr>
          <w:lang w:val="en-US"/>
        </w:rPr>
      </w:pPr>
    </w:p>
    <w:p w14:paraId="63A3872F" w14:textId="602EC635" w:rsidR="00525D0B" w:rsidRPr="00670221" w:rsidRDefault="00F7368E" w:rsidP="00F7368E">
      <w:pPr>
        <w:pStyle w:val="Heading3"/>
      </w:pPr>
      <w:bookmarkStart w:id="69" w:name="_Toc184403442"/>
      <w:r w:rsidRPr="00670221">
        <w:t xml:space="preserve">Setting </w:t>
      </w:r>
      <w:r w:rsidR="0090097D" w:rsidRPr="00670221">
        <w:t>T</w:t>
      </w:r>
      <w:r w:rsidR="002827FE" w:rsidRPr="00670221">
        <w:t xml:space="preserve">echnical </w:t>
      </w:r>
      <w:r w:rsidR="0090097D" w:rsidRPr="00670221">
        <w:t>C</w:t>
      </w:r>
      <w:r w:rsidRPr="00670221">
        <w:t>riteria</w:t>
      </w:r>
      <w:bookmarkEnd w:id="69"/>
    </w:p>
    <w:p w14:paraId="43577065" w14:textId="0D5A9CB9" w:rsidR="00E4241A" w:rsidRPr="00670221" w:rsidRDefault="00D52A85" w:rsidP="00670A20">
      <w:pPr>
        <w:rPr>
          <w:lang w:val="en-US"/>
        </w:rPr>
      </w:pPr>
      <w:r w:rsidRPr="00670221">
        <w:rPr>
          <w:lang w:val="en-US"/>
        </w:rPr>
        <w:t xml:space="preserve">The problem statement identified that existing fuels are pollutive, and alternative options remain underdeveloped due to high costs. </w:t>
      </w:r>
      <w:r w:rsidR="00670A20" w:rsidRPr="00670221">
        <w:rPr>
          <w:lang w:val="en-US"/>
        </w:rPr>
        <w:t xml:space="preserve">Consequently, key criteria for any alternative </w:t>
      </w:r>
      <w:r w:rsidR="00DF15B8" w:rsidRPr="00670221">
        <w:rPr>
          <w:lang w:val="en-US"/>
        </w:rPr>
        <w:t>technology</w:t>
      </w:r>
      <w:r w:rsidR="00670A20" w:rsidRPr="00670221">
        <w:rPr>
          <w:lang w:val="en-US"/>
        </w:rPr>
        <w:t xml:space="preserve"> were defined as sustainability, cost-effectiveness, short-term viability, and scalability to meet current and future demand and policy mandates. Since it was difficult to evaluate technologies directly against these criteria, they were adapted to align with specific technological components identified in the technology analysis.</w:t>
      </w:r>
      <w:r w:rsidR="00CD59CE">
        <w:rPr>
          <w:lang w:val="en-US"/>
        </w:rPr>
        <w:t xml:space="preserve"> </w:t>
      </w:r>
      <w:r w:rsidR="00CD59CE" w:rsidRPr="00CD59CE">
        <w:rPr>
          <w:lang w:val="en-US"/>
        </w:rPr>
        <w:t>These criteria were further reinforced by experts during the webinar, who emphasized the necessity of initiating investments and scaling projects immediately—not only to meet mandates but also to drive down costs and accelerate learning rates, which are otherwise unpredictable without real-world implementation (Appendix E).</w:t>
      </w:r>
    </w:p>
    <w:p w14:paraId="090A59F8" w14:textId="602743D6" w:rsidR="00E4241A" w:rsidRPr="00670221" w:rsidRDefault="00D52A85" w:rsidP="00E352CA">
      <w:pPr>
        <w:pStyle w:val="ListParagraph"/>
        <w:numPr>
          <w:ilvl w:val="0"/>
          <w:numId w:val="19"/>
        </w:numPr>
        <w:rPr>
          <w:lang w:val="en-US"/>
        </w:rPr>
      </w:pPr>
      <w:r w:rsidRPr="00670221">
        <w:rPr>
          <w:lang w:val="en-US"/>
        </w:rPr>
        <w:t xml:space="preserve">Sustainability: </w:t>
      </w:r>
      <w:r w:rsidR="00E4241A" w:rsidRPr="00670221">
        <w:rPr>
          <w:lang w:val="en-US"/>
        </w:rPr>
        <w:t xml:space="preserve">An alternative technology needed to demonstrate reduced environmental impact. While only the sustainability of the electricity source and </w:t>
      </w:r>
      <w:r w:rsidR="00FE3EB3" w:rsidRPr="00670221">
        <w:rPr>
          <w:lang w:val="en-US"/>
        </w:rPr>
        <w:t>hydrogen</w:t>
      </w:r>
      <w:r w:rsidR="00E4241A" w:rsidRPr="00670221">
        <w:rPr>
          <w:lang w:val="en-US"/>
        </w:rPr>
        <w:t xml:space="preserve"> carrier could be assessed directly, a more efficient </w:t>
      </w:r>
      <w:proofErr w:type="spellStart"/>
      <w:r w:rsidR="00E4241A" w:rsidRPr="00670221">
        <w:rPr>
          <w:lang w:val="en-US"/>
        </w:rPr>
        <w:t>electrolyzer</w:t>
      </w:r>
      <w:proofErr w:type="spellEnd"/>
      <w:r w:rsidR="00E4241A" w:rsidRPr="00670221">
        <w:rPr>
          <w:lang w:val="en-US"/>
        </w:rPr>
        <w:t xml:space="preserve"> indirectly enhanced sustainability by requiring less energy, and thus sustainability was captured through efficiency.</w:t>
      </w:r>
    </w:p>
    <w:p w14:paraId="12C835A4" w14:textId="11462FEB" w:rsidR="00D52A85" w:rsidRPr="00670221" w:rsidRDefault="00D52A85" w:rsidP="00E352CA">
      <w:pPr>
        <w:pStyle w:val="ListParagraph"/>
        <w:numPr>
          <w:ilvl w:val="0"/>
          <w:numId w:val="19"/>
        </w:numPr>
        <w:rPr>
          <w:lang w:val="en-US"/>
        </w:rPr>
      </w:pPr>
      <w:r w:rsidRPr="00670221">
        <w:rPr>
          <w:lang w:val="en-US"/>
        </w:rPr>
        <w:lastRenderedPageBreak/>
        <w:t>Cost-effectiveness: Given high costs as a primary barrier, subsequent sub-questions address cost analysis in detail. Efficiency, however, affects cost-effectiveness directly by minimizing energy loss, making it an essential criterion</w:t>
      </w:r>
      <w:r w:rsidR="000B11AE" w:rsidRPr="00670221">
        <w:rPr>
          <w:lang w:val="en-US"/>
        </w:rPr>
        <w:t xml:space="preserve"> for </w:t>
      </w:r>
      <w:r w:rsidR="00142720" w:rsidRPr="00670221">
        <w:rPr>
          <w:lang w:val="en-US"/>
        </w:rPr>
        <w:t>electrolysis</w:t>
      </w:r>
      <w:r w:rsidRPr="00670221">
        <w:rPr>
          <w:lang w:val="en-US"/>
        </w:rPr>
        <w:t>.</w:t>
      </w:r>
    </w:p>
    <w:p w14:paraId="0438BE8A" w14:textId="1B172D17" w:rsidR="00E235A2" w:rsidRPr="00670221" w:rsidRDefault="00D52A85" w:rsidP="00E235A2">
      <w:pPr>
        <w:pStyle w:val="ListParagraph"/>
        <w:numPr>
          <w:ilvl w:val="0"/>
          <w:numId w:val="19"/>
        </w:numPr>
        <w:rPr>
          <w:lang w:val="en-US"/>
        </w:rPr>
      </w:pPr>
      <w:r w:rsidRPr="00670221">
        <w:rPr>
          <w:lang w:val="en-US"/>
        </w:rPr>
        <w:t xml:space="preserve">Short-term viability: </w:t>
      </w:r>
      <w:r w:rsidR="00E235A2" w:rsidRPr="00670221">
        <w:rPr>
          <w:lang w:val="en-US"/>
        </w:rPr>
        <w:t xml:space="preserve">Represented by TRL for electrolysis and fuel synthesis technologies, with higher TRLs indicating readiness for near-term deployment. For </w:t>
      </w:r>
      <w:r w:rsidR="005B7B3B" w:rsidRPr="00670221">
        <w:rPr>
          <w:lang w:val="en-US"/>
        </w:rPr>
        <w:t>hydrogen</w:t>
      </w:r>
      <w:r w:rsidR="00E235A2" w:rsidRPr="00670221">
        <w:rPr>
          <w:lang w:val="en-US"/>
        </w:rPr>
        <w:t xml:space="preserve"> carriers, this criterion was reflected in fuel infrastructure alignment, as switching to a new carrier was considered unfeasible over the next two decades, as supported by studies on electrical and hydrogen-powered aviation. For electricity generation, short-term viability also assessed how quickly new capacity could be developed and integrated, an important factor in meeting immediate fuel demand and policy mandates.</w:t>
      </w:r>
    </w:p>
    <w:p w14:paraId="30FD231F" w14:textId="0A09DD92" w:rsidR="005074E3" w:rsidRPr="00670221" w:rsidRDefault="00D52A85" w:rsidP="005074E3">
      <w:pPr>
        <w:pStyle w:val="ListParagraph"/>
        <w:numPr>
          <w:ilvl w:val="0"/>
          <w:numId w:val="19"/>
        </w:numPr>
        <w:rPr>
          <w:lang w:val="en-US"/>
        </w:rPr>
      </w:pPr>
      <w:r w:rsidRPr="00670221">
        <w:rPr>
          <w:lang w:val="en-US"/>
        </w:rPr>
        <w:t xml:space="preserve">Scalability: </w:t>
      </w:r>
      <w:r w:rsidR="008E1A9C" w:rsidRPr="00670221">
        <w:rPr>
          <w:lang w:val="en-US"/>
        </w:rPr>
        <w:t xml:space="preserve">To ensure technologies could meet sectoral fuel demands, feedstock availability captured this requirement for </w:t>
      </w:r>
      <w:r w:rsidR="005B7B3B" w:rsidRPr="00670221">
        <w:rPr>
          <w:lang w:val="en-US"/>
        </w:rPr>
        <w:t>hydrogen</w:t>
      </w:r>
      <w:r w:rsidR="008E1A9C" w:rsidRPr="00670221">
        <w:rPr>
          <w:lang w:val="en-US"/>
        </w:rPr>
        <w:t xml:space="preserve"> carriers. For technologies</w:t>
      </w:r>
      <w:r w:rsidR="00645CD1" w:rsidRPr="00670221">
        <w:rPr>
          <w:lang w:val="en-US"/>
        </w:rPr>
        <w:t xml:space="preserve"> like electrolysis and fuel synthesis methods</w:t>
      </w:r>
      <w:r w:rsidR="008E1A9C" w:rsidRPr="00670221">
        <w:rPr>
          <w:lang w:val="en-US"/>
        </w:rPr>
        <w:t>, scalability was partially represented by TRL, as higher TRLs indicated closer proximity to commercialization and easier scalability.</w:t>
      </w:r>
    </w:p>
    <w:p w14:paraId="49B7CD51" w14:textId="480D0F19" w:rsidR="005074E3" w:rsidRPr="00670221" w:rsidRDefault="005074E3" w:rsidP="005074E3">
      <w:pPr>
        <w:pStyle w:val="ListParagraph"/>
        <w:numPr>
          <w:ilvl w:val="0"/>
          <w:numId w:val="19"/>
        </w:numPr>
        <w:rPr>
          <w:lang w:val="en-US"/>
        </w:rPr>
      </w:pPr>
      <w:r w:rsidRPr="00670221">
        <w:rPr>
          <w:lang w:val="en-US"/>
        </w:rPr>
        <w:t>Policy alignment: The policy analysis revealed that various policies beyond mandates influenced technology feasibility, leading to this criterion’s inclusion. Policy alignment assessed the support for each type of electricity generation, energy carrier classification within policy frameworks, and certification status of fuel synthesis methods.</w:t>
      </w:r>
    </w:p>
    <w:p w14:paraId="70C63827" w14:textId="1B43FB08" w:rsidR="00D41D8B" w:rsidRPr="00670221" w:rsidRDefault="005074E3" w:rsidP="005074E3">
      <w:pPr>
        <w:rPr>
          <w:lang w:val="en-US"/>
        </w:rPr>
      </w:pPr>
      <w:r w:rsidRPr="00670221">
        <w:rPr>
          <w:lang w:val="en-US"/>
        </w:rPr>
        <w:t>Additional criteria were developed based on system challenges</w:t>
      </w:r>
      <w:r w:rsidR="00D41D8B" w:rsidRPr="00670221">
        <w:rPr>
          <w:lang w:val="en-US"/>
        </w:rPr>
        <w:t xml:space="preserve"> and</w:t>
      </w:r>
      <w:r w:rsidRPr="00670221">
        <w:rPr>
          <w:lang w:val="en-US"/>
        </w:rPr>
        <w:t xml:space="preserve"> technological requirements</w:t>
      </w:r>
      <w:r w:rsidR="0047497B" w:rsidRPr="00670221">
        <w:rPr>
          <w:lang w:val="en-US"/>
        </w:rPr>
        <w:t xml:space="preserve"> </w:t>
      </w:r>
      <w:r w:rsidR="007C231B" w:rsidRPr="00670221">
        <w:rPr>
          <w:lang w:val="en-US"/>
        </w:rPr>
        <w:t>identified in the analyses</w:t>
      </w:r>
      <w:r w:rsidRPr="00670221">
        <w:rPr>
          <w:lang w:val="en-US"/>
        </w:rPr>
        <w:t>:</w:t>
      </w:r>
    </w:p>
    <w:p w14:paraId="67ABF8B3" w14:textId="4D620E40" w:rsidR="00D41D8B" w:rsidRPr="00670221" w:rsidRDefault="005074E3" w:rsidP="00D41D8B">
      <w:pPr>
        <w:pStyle w:val="ListParagraph"/>
        <w:numPr>
          <w:ilvl w:val="0"/>
          <w:numId w:val="68"/>
        </w:numPr>
        <w:rPr>
          <w:lang w:val="en-US"/>
        </w:rPr>
      </w:pPr>
      <w:r w:rsidRPr="00670221">
        <w:rPr>
          <w:lang w:val="en-US"/>
        </w:rPr>
        <w:t xml:space="preserve">Independence: To address grid congestion challenges associated with electrification, an energy independence criterion was added to </w:t>
      </w:r>
      <w:r w:rsidR="00EB31E0" w:rsidRPr="00670221">
        <w:rPr>
          <w:lang w:val="en-US"/>
        </w:rPr>
        <w:t>remove</w:t>
      </w:r>
      <w:r w:rsidRPr="00670221">
        <w:rPr>
          <w:lang w:val="en-US"/>
        </w:rPr>
        <w:t xml:space="preserve"> reliance on external grids</w:t>
      </w:r>
      <w:r w:rsidR="00EB31E0" w:rsidRPr="00670221">
        <w:rPr>
          <w:lang w:val="en-US"/>
        </w:rPr>
        <w:t xml:space="preserve"> with </w:t>
      </w:r>
      <w:r w:rsidR="00604713" w:rsidRPr="00670221">
        <w:rPr>
          <w:lang w:val="en-US"/>
        </w:rPr>
        <w:t>additional grid costs</w:t>
      </w:r>
      <w:r w:rsidRPr="00670221">
        <w:rPr>
          <w:lang w:val="en-US"/>
        </w:rPr>
        <w:t>.</w:t>
      </w:r>
    </w:p>
    <w:p w14:paraId="534048AA" w14:textId="2C7D97BD" w:rsidR="005074E3" w:rsidRPr="00670221" w:rsidRDefault="000B6E70" w:rsidP="00D41D8B">
      <w:pPr>
        <w:pStyle w:val="ListParagraph"/>
        <w:numPr>
          <w:ilvl w:val="0"/>
          <w:numId w:val="68"/>
        </w:numPr>
        <w:rPr>
          <w:lang w:val="en-US"/>
        </w:rPr>
      </w:pPr>
      <w:r w:rsidRPr="00670221">
        <w:rPr>
          <w:lang w:val="en-US"/>
        </w:rPr>
        <w:t>Non-i</w:t>
      </w:r>
      <w:r w:rsidR="005074E3" w:rsidRPr="00670221">
        <w:rPr>
          <w:lang w:val="en-US"/>
        </w:rPr>
        <w:t xml:space="preserve">ntermittency: As SAF production is a continuous process requiring </w:t>
      </w:r>
      <w:r w:rsidR="00151D86" w:rsidRPr="00670221">
        <w:rPr>
          <w:lang w:val="en-US"/>
        </w:rPr>
        <w:t>many</w:t>
      </w:r>
      <w:r w:rsidR="005074E3" w:rsidRPr="00670221">
        <w:rPr>
          <w:lang w:val="en-US"/>
        </w:rPr>
        <w:t xml:space="preserve"> operational hours, </w:t>
      </w:r>
      <w:r w:rsidR="0087351B" w:rsidRPr="00670221">
        <w:rPr>
          <w:lang w:val="en-US"/>
        </w:rPr>
        <w:t xml:space="preserve">energy sources that </w:t>
      </w:r>
      <w:r w:rsidR="000C56CA" w:rsidRPr="00670221">
        <w:rPr>
          <w:lang w:val="en-US"/>
        </w:rPr>
        <w:t>are non-intermittent scored higher</w:t>
      </w:r>
      <w:r w:rsidR="005074E3" w:rsidRPr="00670221">
        <w:rPr>
          <w:lang w:val="en-US"/>
        </w:rPr>
        <w:t>.</w:t>
      </w:r>
    </w:p>
    <w:p w14:paraId="541B4A4A" w14:textId="3FA8CE7B" w:rsidR="005074E3" w:rsidRPr="00670221" w:rsidRDefault="005074E3" w:rsidP="00D41D8B">
      <w:pPr>
        <w:pStyle w:val="ListParagraph"/>
        <w:numPr>
          <w:ilvl w:val="0"/>
          <w:numId w:val="68"/>
        </w:numPr>
        <w:rPr>
          <w:lang w:val="en-US"/>
        </w:rPr>
      </w:pPr>
      <w:r w:rsidRPr="00670221">
        <w:rPr>
          <w:lang w:val="en-US"/>
        </w:rPr>
        <w:t>System integration: To capture the differences among electrolysis technologies, the system integration criterion evaluated how well each technology fit within the broader system to ensure operational efficiency.</w:t>
      </w:r>
    </w:p>
    <w:p w14:paraId="18D4F6B4" w14:textId="14C592C5" w:rsidR="00EF15B1" w:rsidRPr="00670221" w:rsidRDefault="00EF15B1" w:rsidP="00D41D8B">
      <w:pPr>
        <w:pStyle w:val="ListParagraph"/>
        <w:numPr>
          <w:ilvl w:val="0"/>
          <w:numId w:val="68"/>
        </w:numPr>
        <w:rPr>
          <w:lang w:val="en-US"/>
        </w:rPr>
      </w:pPr>
      <w:r w:rsidRPr="00670221">
        <w:rPr>
          <w:lang w:val="en-US"/>
        </w:rPr>
        <w:t xml:space="preserve">Direct </w:t>
      </w:r>
      <w:r w:rsidR="004A0212" w:rsidRPr="00670221">
        <w:rPr>
          <w:lang w:val="en-US"/>
        </w:rPr>
        <w:t>a</w:t>
      </w:r>
      <w:r w:rsidRPr="00670221">
        <w:rPr>
          <w:lang w:val="en-US"/>
        </w:rPr>
        <w:t xml:space="preserve">ir </w:t>
      </w:r>
      <w:r w:rsidR="004A0212" w:rsidRPr="00670221">
        <w:rPr>
          <w:lang w:val="en-US"/>
        </w:rPr>
        <w:t>c</w:t>
      </w:r>
      <w:r w:rsidRPr="00670221">
        <w:rPr>
          <w:lang w:val="en-US"/>
        </w:rPr>
        <w:t xml:space="preserve">apture </w:t>
      </w:r>
      <w:r w:rsidR="00AC2585" w:rsidRPr="00670221">
        <w:rPr>
          <w:lang w:val="en-US"/>
        </w:rPr>
        <w:t>c</w:t>
      </w:r>
      <w:r w:rsidRPr="00670221">
        <w:rPr>
          <w:lang w:val="en-US"/>
        </w:rPr>
        <w:t>ompatibility: Given that the research focuses on DAC, compatibility with DAC was included as a criterion, ensuring technologies are assessed for their alignment with DAC integration.</w:t>
      </w:r>
    </w:p>
    <w:p w14:paraId="1D6E7C03" w14:textId="77777777" w:rsidR="009C3B9A" w:rsidRPr="00670221" w:rsidRDefault="009C3B9A" w:rsidP="009C3B9A">
      <w:pPr>
        <w:rPr>
          <w:lang w:val="en-US"/>
        </w:rPr>
      </w:pPr>
    </w:p>
    <w:p w14:paraId="2F11E6E8" w14:textId="56926BF2" w:rsidR="001B276A" w:rsidRPr="00670221" w:rsidRDefault="001B276A" w:rsidP="007A0857">
      <w:pPr>
        <w:pStyle w:val="Heading3"/>
      </w:pPr>
      <w:bookmarkStart w:id="70" w:name="_Toc184403443"/>
      <w:r w:rsidRPr="00670221">
        <w:t xml:space="preserve">Technical </w:t>
      </w:r>
      <w:r w:rsidR="00000E9C" w:rsidRPr="00670221">
        <w:t>C</w:t>
      </w:r>
      <w:r w:rsidRPr="00670221">
        <w:t>riteria</w:t>
      </w:r>
      <w:bookmarkEnd w:id="70"/>
    </w:p>
    <w:p w14:paraId="4BF22C53" w14:textId="70CA780B" w:rsidR="00256D71" w:rsidRPr="00670221" w:rsidRDefault="00E430AF" w:rsidP="00493887">
      <w:pPr>
        <w:pStyle w:val="Heading4"/>
        <w:rPr>
          <w:lang w:val="en-US"/>
        </w:rPr>
      </w:pPr>
      <w:r w:rsidRPr="00670221">
        <w:rPr>
          <w:lang w:val="en-US"/>
        </w:rPr>
        <w:t>E</w:t>
      </w:r>
      <w:r w:rsidR="00A913E6" w:rsidRPr="00670221">
        <w:rPr>
          <w:lang w:val="en-US"/>
        </w:rPr>
        <w:t>nergy</w:t>
      </w:r>
    </w:p>
    <w:tbl>
      <w:tblPr>
        <w:tblStyle w:val="TableGrid"/>
        <w:tblW w:w="5000" w:type="pct"/>
        <w:tblLook w:val="04A0" w:firstRow="1" w:lastRow="0" w:firstColumn="1" w:lastColumn="0" w:noHBand="0" w:noVBand="1"/>
      </w:tblPr>
      <w:tblGrid>
        <w:gridCol w:w="2262"/>
        <w:gridCol w:w="2252"/>
        <w:gridCol w:w="2252"/>
        <w:gridCol w:w="2250"/>
      </w:tblGrid>
      <w:tr w:rsidR="00E863A0" w:rsidRPr="00670221" w14:paraId="0F1FD7A2" w14:textId="77777777" w:rsidTr="00640BC5">
        <w:trPr>
          <w:trHeight w:val="484"/>
        </w:trPr>
        <w:tc>
          <w:tcPr>
            <w:tcW w:w="1254" w:type="pct"/>
          </w:tcPr>
          <w:p w14:paraId="63C29F71" w14:textId="77777777" w:rsidR="00E863A0" w:rsidRPr="00670221" w:rsidRDefault="00E863A0" w:rsidP="00C336B0">
            <w:pPr>
              <w:rPr>
                <w:sz w:val="20"/>
                <w:szCs w:val="20"/>
                <w:lang w:val="en-US"/>
              </w:rPr>
            </w:pPr>
          </w:p>
        </w:tc>
        <w:tc>
          <w:tcPr>
            <w:tcW w:w="1249" w:type="pct"/>
          </w:tcPr>
          <w:p w14:paraId="3C6BA777" w14:textId="55DBE72E" w:rsidR="00E863A0" w:rsidRPr="00670221" w:rsidRDefault="00E863A0" w:rsidP="00351716">
            <w:pPr>
              <w:jc w:val="center"/>
              <w:rPr>
                <w:sz w:val="20"/>
                <w:szCs w:val="20"/>
                <w:lang w:val="en-US"/>
              </w:rPr>
            </w:pPr>
            <w:r w:rsidRPr="00670221">
              <w:rPr>
                <w:sz w:val="20"/>
                <w:szCs w:val="20"/>
                <w:lang w:val="en-US"/>
              </w:rPr>
              <w:t>Dedicated RES</w:t>
            </w:r>
          </w:p>
        </w:tc>
        <w:tc>
          <w:tcPr>
            <w:tcW w:w="1249" w:type="pct"/>
          </w:tcPr>
          <w:p w14:paraId="09044BE9" w14:textId="402EAD45" w:rsidR="00E863A0" w:rsidRPr="00670221" w:rsidRDefault="00E863A0" w:rsidP="00351716">
            <w:pPr>
              <w:jc w:val="center"/>
              <w:rPr>
                <w:sz w:val="20"/>
                <w:szCs w:val="20"/>
                <w:lang w:val="en-US"/>
              </w:rPr>
            </w:pPr>
            <w:r w:rsidRPr="00670221">
              <w:rPr>
                <w:sz w:val="20"/>
                <w:szCs w:val="20"/>
                <w:lang w:val="en-US"/>
              </w:rPr>
              <w:t>RES grid</w:t>
            </w:r>
          </w:p>
        </w:tc>
        <w:tc>
          <w:tcPr>
            <w:tcW w:w="1248" w:type="pct"/>
          </w:tcPr>
          <w:p w14:paraId="04E0EEA8" w14:textId="69C3C043" w:rsidR="00E863A0" w:rsidRPr="00670221" w:rsidRDefault="00E863A0" w:rsidP="00351716">
            <w:pPr>
              <w:jc w:val="center"/>
              <w:rPr>
                <w:sz w:val="20"/>
                <w:szCs w:val="20"/>
                <w:lang w:val="en-US"/>
              </w:rPr>
            </w:pPr>
            <w:r w:rsidRPr="00670221">
              <w:rPr>
                <w:sz w:val="20"/>
                <w:szCs w:val="20"/>
                <w:lang w:val="en-US"/>
              </w:rPr>
              <w:t>Nuclear</w:t>
            </w:r>
          </w:p>
        </w:tc>
      </w:tr>
      <w:tr w:rsidR="00524E9B" w:rsidRPr="00670221" w14:paraId="3C4C8E37" w14:textId="77777777" w:rsidTr="004565BC">
        <w:trPr>
          <w:trHeight w:val="484"/>
        </w:trPr>
        <w:tc>
          <w:tcPr>
            <w:tcW w:w="1254" w:type="pct"/>
          </w:tcPr>
          <w:p w14:paraId="6149EDBA" w14:textId="4ED8E2C5" w:rsidR="00524E9B" w:rsidRPr="00670221" w:rsidRDefault="00653085" w:rsidP="00C336B0">
            <w:pPr>
              <w:rPr>
                <w:sz w:val="20"/>
                <w:szCs w:val="20"/>
                <w:lang w:val="en-US"/>
              </w:rPr>
            </w:pPr>
            <w:r w:rsidRPr="00670221">
              <w:rPr>
                <w:sz w:val="20"/>
                <w:szCs w:val="20"/>
                <w:lang w:val="en-US"/>
              </w:rPr>
              <w:t>I</w:t>
            </w:r>
            <w:r w:rsidR="004565BC" w:rsidRPr="00670221">
              <w:rPr>
                <w:sz w:val="20"/>
                <w:szCs w:val="20"/>
                <w:lang w:val="en-US"/>
              </w:rPr>
              <w:t>ndependence</w:t>
            </w:r>
          </w:p>
        </w:tc>
        <w:tc>
          <w:tcPr>
            <w:tcW w:w="1249" w:type="pct"/>
            <w:shd w:val="clear" w:color="auto" w:fill="92D050"/>
          </w:tcPr>
          <w:p w14:paraId="6C31F566" w14:textId="77777777" w:rsidR="00524E9B" w:rsidRPr="00670221" w:rsidRDefault="00524E9B" w:rsidP="00351716">
            <w:pPr>
              <w:jc w:val="center"/>
              <w:rPr>
                <w:color w:val="000000" w:themeColor="text1"/>
                <w:sz w:val="20"/>
                <w:szCs w:val="20"/>
                <w:lang w:val="en-US"/>
              </w:rPr>
            </w:pPr>
          </w:p>
        </w:tc>
        <w:tc>
          <w:tcPr>
            <w:tcW w:w="1249" w:type="pct"/>
            <w:shd w:val="clear" w:color="auto" w:fill="FFC000"/>
          </w:tcPr>
          <w:p w14:paraId="53A03B6C" w14:textId="0A8F10FB" w:rsidR="00524E9B" w:rsidRPr="00670221" w:rsidRDefault="00653085" w:rsidP="00351716">
            <w:pPr>
              <w:jc w:val="center"/>
              <w:rPr>
                <w:color w:val="000000" w:themeColor="text1"/>
                <w:sz w:val="20"/>
                <w:szCs w:val="20"/>
                <w:lang w:val="en-US"/>
              </w:rPr>
            </w:pPr>
            <w:r w:rsidRPr="00670221">
              <w:rPr>
                <w:color w:val="000000" w:themeColor="text1"/>
                <w:sz w:val="20"/>
                <w:szCs w:val="20"/>
                <w:lang w:val="en-US"/>
              </w:rPr>
              <w:t>2</w:t>
            </w:r>
          </w:p>
        </w:tc>
        <w:tc>
          <w:tcPr>
            <w:tcW w:w="1248" w:type="pct"/>
            <w:shd w:val="clear" w:color="auto" w:fill="92D050"/>
          </w:tcPr>
          <w:p w14:paraId="45147154" w14:textId="77777777" w:rsidR="00524E9B" w:rsidRPr="00670221" w:rsidRDefault="00524E9B" w:rsidP="00351716">
            <w:pPr>
              <w:jc w:val="center"/>
              <w:rPr>
                <w:color w:val="000000" w:themeColor="text1"/>
                <w:sz w:val="20"/>
                <w:szCs w:val="20"/>
                <w:lang w:val="en-US"/>
              </w:rPr>
            </w:pPr>
          </w:p>
        </w:tc>
      </w:tr>
      <w:tr w:rsidR="00E863A0" w:rsidRPr="00670221" w14:paraId="1FB9099D" w14:textId="77777777" w:rsidTr="00640BC5">
        <w:trPr>
          <w:trHeight w:val="484"/>
        </w:trPr>
        <w:tc>
          <w:tcPr>
            <w:tcW w:w="1254" w:type="pct"/>
          </w:tcPr>
          <w:p w14:paraId="53A014A7" w14:textId="7C837CDA" w:rsidR="00E863A0" w:rsidRPr="00670221" w:rsidRDefault="00E863A0" w:rsidP="00C336B0">
            <w:pPr>
              <w:rPr>
                <w:sz w:val="20"/>
                <w:szCs w:val="20"/>
                <w:lang w:val="en-US"/>
              </w:rPr>
            </w:pPr>
            <w:r w:rsidRPr="00670221">
              <w:rPr>
                <w:sz w:val="20"/>
                <w:szCs w:val="20"/>
                <w:lang w:val="en-US"/>
              </w:rPr>
              <w:t>Sustainability</w:t>
            </w:r>
          </w:p>
        </w:tc>
        <w:tc>
          <w:tcPr>
            <w:tcW w:w="1249" w:type="pct"/>
            <w:shd w:val="clear" w:color="auto" w:fill="92D050"/>
          </w:tcPr>
          <w:p w14:paraId="3F452A5A" w14:textId="77777777" w:rsidR="00E863A0" w:rsidRPr="00670221" w:rsidRDefault="00E863A0" w:rsidP="00351716">
            <w:pPr>
              <w:jc w:val="center"/>
              <w:rPr>
                <w:color w:val="000000" w:themeColor="text1"/>
                <w:sz w:val="20"/>
                <w:szCs w:val="20"/>
                <w:highlight w:val="green"/>
                <w:lang w:val="en-US"/>
              </w:rPr>
            </w:pPr>
          </w:p>
        </w:tc>
        <w:tc>
          <w:tcPr>
            <w:tcW w:w="1249" w:type="pct"/>
            <w:shd w:val="clear" w:color="auto" w:fill="92D050"/>
          </w:tcPr>
          <w:p w14:paraId="5B7696CF" w14:textId="77777777" w:rsidR="00E863A0" w:rsidRPr="00670221" w:rsidRDefault="00E863A0" w:rsidP="00351716">
            <w:pPr>
              <w:jc w:val="center"/>
              <w:rPr>
                <w:color w:val="000000" w:themeColor="text1"/>
                <w:sz w:val="20"/>
                <w:szCs w:val="20"/>
                <w:highlight w:val="green"/>
                <w:lang w:val="en-US"/>
              </w:rPr>
            </w:pPr>
          </w:p>
        </w:tc>
        <w:tc>
          <w:tcPr>
            <w:tcW w:w="1248" w:type="pct"/>
            <w:shd w:val="clear" w:color="auto" w:fill="FFFF00"/>
          </w:tcPr>
          <w:p w14:paraId="6F84746A" w14:textId="7809F46D" w:rsidR="00E863A0" w:rsidRPr="00670221" w:rsidRDefault="00351716" w:rsidP="00351716">
            <w:pPr>
              <w:jc w:val="center"/>
              <w:rPr>
                <w:color w:val="000000" w:themeColor="text1"/>
                <w:sz w:val="20"/>
                <w:szCs w:val="20"/>
                <w:lang w:val="en-US"/>
              </w:rPr>
            </w:pPr>
            <w:r w:rsidRPr="00670221">
              <w:rPr>
                <w:color w:val="000000" w:themeColor="text1"/>
                <w:sz w:val="20"/>
                <w:szCs w:val="20"/>
                <w:lang w:val="en-US"/>
              </w:rPr>
              <w:t>1</w:t>
            </w:r>
          </w:p>
        </w:tc>
      </w:tr>
      <w:tr w:rsidR="00E863A0" w:rsidRPr="00670221" w14:paraId="7E7BC8A2" w14:textId="77777777" w:rsidTr="00640BC5">
        <w:trPr>
          <w:trHeight w:val="484"/>
        </w:trPr>
        <w:tc>
          <w:tcPr>
            <w:tcW w:w="1254" w:type="pct"/>
          </w:tcPr>
          <w:p w14:paraId="18B29C10" w14:textId="4D64DA28" w:rsidR="00E863A0" w:rsidRPr="00670221" w:rsidRDefault="000B6E70" w:rsidP="00C336B0">
            <w:pPr>
              <w:rPr>
                <w:sz w:val="20"/>
                <w:szCs w:val="20"/>
                <w:lang w:val="en-US"/>
              </w:rPr>
            </w:pPr>
            <w:r w:rsidRPr="00670221">
              <w:rPr>
                <w:sz w:val="20"/>
                <w:szCs w:val="20"/>
                <w:lang w:val="en-US"/>
              </w:rPr>
              <w:t>Non-i</w:t>
            </w:r>
            <w:r w:rsidR="00E863A0" w:rsidRPr="00670221">
              <w:rPr>
                <w:sz w:val="20"/>
                <w:szCs w:val="20"/>
                <w:lang w:val="en-US"/>
              </w:rPr>
              <w:t>ntermittency</w:t>
            </w:r>
          </w:p>
        </w:tc>
        <w:tc>
          <w:tcPr>
            <w:tcW w:w="1249" w:type="pct"/>
            <w:shd w:val="clear" w:color="auto" w:fill="FFC000"/>
          </w:tcPr>
          <w:p w14:paraId="1719C4FE" w14:textId="20A723CA" w:rsidR="00E863A0" w:rsidRPr="00670221" w:rsidRDefault="00351716" w:rsidP="00351716">
            <w:pPr>
              <w:jc w:val="center"/>
              <w:rPr>
                <w:color w:val="000000" w:themeColor="text1"/>
                <w:sz w:val="20"/>
                <w:szCs w:val="20"/>
                <w:lang w:val="en-US"/>
              </w:rPr>
            </w:pPr>
            <w:r w:rsidRPr="00670221">
              <w:rPr>
                <w:color w:val="000000" w:themeColor="text1"/>
                <w:sz w:val="20"/>
                <w:szCs w:val="20"/>
                <w:lang w:val="en-US"/>
              </w:rPr>
              <w:t>2</w:t>
            </w:r>
          </w:p>
        </w:tc>
        <w:tc>
          <w:tcPr>
            <w:tcW w:w="1249" w:type="pct"/>
            <w:shd w:val="clear" w:color="auto" w:fill="92D050"/>
          </w:tcPr>
          <w:p w14:paraId="52A6FA12" w14:textId="77777777" w:rsidR="00E863A0" w:rsidRPr="00670221" w:rsidRDefault="00E863A0" w:rsidP="00351716">
            <w:pPr>
              <w:jc w:val="center"/>
              <w:rPr>
                <w:color w:val="000000" w:themeColor="text1"/>
                <w:sz w:val="20"/>
                <w:szCs w:val="20"/>
                <w:lang w:val="en-US"/>
              </w:rPr>
            </w:pPr>
          </w:p>
        </w:tc>
        <w:tc>
          <w:tcPr>
            <w:tcW w:w="1248" w:type="pct"/>
            <w:shd w:val="clear" w:color="auto" w:fill="92D050"/>
          </w:tcPr>
          <w:p w14:paraId="6AD46E69" w14:textId="77777777" w:rsidR="00E863A0" w:rsidRPr="00670221" w:rsidRDefault="00E863A0" w:rsidP="00351716">
            <w:pPr>
              <w:jc w:val="center"/>
              <w:rPr>
                <w:color w:val="000000" w:themeColor="text1"/>
                <w:sz w:val="20"/>
                <w:szCs w:val="20"/>
                <w:lang w:val="en-US"/>
              </w:rPr>
            </w:pPr>
          </w:p>
        </w:tc>
      </w:tr>
      <w:tr w:rsidR="00E863A0" w:rsidRPr="00670221" w14:paraId="0BF07AA5" w14:textId="77777777" w:rsidTr="00640BC5">
        <w:trPr>
          <w:trHeight w:val="484"/>
        </w:trPr>
        <w:tc>
          <w:tcPr>
            <w:tcW w:w="1254" w:type="pct"/>
          </w:tcPr>
          <w:p w14:paraId="6DCCE6F6" w14:textId="3EF1763D" w:rsidR="00E863A0" w:rsidRPr="00670221" w:rsidRDefault="003819E4" w:rsidP="00C336B0">
            <w:pPr>
              <w:rPr>
                <w:sz w:val="20"/>
                <w:szCs w:val="20"/>
                <w:lang w:val="en-US"/>
              </w:rPr>
            </w:pPr>
            <w:r w:rsidRPr="00670221">
              <w:rPr>
                <w:sz w:val="20"/>
                <w:szCs w:val="20"/>
                <w:lang w:val="en-US"/>
              </w:rPr>
              <w:t>Policy alignment</w:t>
            </w:r>
          </w:p>
        </w:tc>
        <w:tc>
          <w:tcPr>
            <w:tcW w:w="1249" w:type="pct"/>
            <w:shd w:val="clear" w:color="auto" w:fill="92D050"/>
          </w:tcPr>
          <w:p w14:paraId="68C54BCC" w14:textId="77777777" w:rsidR="00E863A0" w:rsidRPr="00670221" w:rsidRDefault="00E863A0" w:rsidP="00351716">
            <w:pPr>
              <w:jc w:val="center"/>
              <w:rPr>
                <w:color w:val="000000" w:themeColor="text1"/>
                <w:sz w:val="20"/>
                <w:szCs w:val="20"/>
                <w:lang w:val="en-US"/>
              </w:rPr>
            </w:pPr>
          </w:p>
        </w:tc>
        <w:tc>
          <w:tcPr>
            <w:tcW w:w="1249" w:type="pct"/>
            <w:shd w:val="clear" w:color="auto" w:fill="92D050"/>
          </w:tcPr>
          <w:p w14:paraId="73F9C89E" w14:textId="77777777" w:rsidR="00E863A0" w:rsidRPr="00670221" w:rsidRDefault="00E863A0" w:rsidP="00351716">
            <w:pPr>
              <w:jc w:val="center"/>
              <w:rPr>
                <w:color w:val="000000" w:themeColor="text1"/>
                <w:sz w:val="20"/>
                <w:szCs w:val="20"/>
                <w:lang w:val="en-US"/>
              </w:rPr>
            </w:pPr>
          </w:p>
        </w:tc>
        <w:tc>
          <w:tcPr>
            <w:tcW w:w="1248" w:type="pct"/>
            <w:shd w:val="clear" w:color="auto" w:fill="FFFF00"/>
          </w:tcPr>
          <w:p w14:paraId="50924ABC" w14:textId="536F9F03" w:rsidR="00E863A0" w:rsidRPr="00670221" w:rsidRDefault="00351716" w:rsidP="00351716">
            <w:pPr>
              <w:jc w:val="center"/>
              <w:rPr>
                <w:color w:val="000000" w:themeColor="text1"/>
                <w:sz w:val="20"/>
                <w:szCs w:val="20"/>
                <w:lang w:val="en-US"/>
              </w:rPr>
            </w:pPr>
            <w:r w:rsidRPr="00670221">
              <w:rPr>
                <w:color w:val="000000" w:themeColor="text1"/>
                <w:sz w:val="20"/>
                <w:szCs w:val="20"/>
                <w:lang w:val="en-US"/>
              </w:rPr>
              <w:t>1</w:t>
            </w:r>
          </w:p>
        </w:tc>
      </w:tr>
      <w:tr w:rsidR="00E863A0" w:rsidRPr="00670221" w14:paraId="1C7ECB7C" w14:textId="77777777" w:rsidTr="00640BC5">
        <w:trPr>
          <w:trHeight w:val="484"/>
        </w:trPr>
        <w:tc>
          <w:tcPr>
            <w:tcW w:w="1254" w:type="pct"/>
          </w:tcPr>
          <w:p w14:paraId="239DCA35" w14:textId="7CAABCB0" w:rsidR="00E863A0" w:rsidRPr="00670221" w:rsidRDefault="00E863A0" w:rsidP="00C336B0">
            <w:pPr>
              <w:rPr>
                <w:sz w:val="20"/>
                <w:szCs w:val="20"/>
                <w:lang w:val="en-US"/>
              </w:rPr>
            </w:pPr>
            <w:r w:rsidRPr="00670221">
              <w:rPr>
                <w:sz w:val="20"/>
                <w:szCs w:val="20"/>
                <w:lang w:val="en-US"/>
              </w:rPr>
              <w:lastRenderedPageBreak/>
              <w:t>Short</w:t>
            </w:r>
            <w:r w:rsidR="000D345F" w:rsidRPr="00670221">
              <w:rPr>
                <w:sz w:val="20"/>
                <w:szCs w:val="20"/>
                <w:lang w:val="en-US"/>
              </w:rPr>
              <w:t>-</w:t>
            </w:r>
            <w:r w:rsidRPr="00670221">
              <w:rPr>
                <w:sz w:val="20"/>
                <w:szCs w:val="20"/>
                <w:lang w:val="en-US"/>
              </w:rPr>
              <w:t>term viability</w:t>
            </w:r>
          </w:p>
        </w:tc>
        <w:tc>
          <w:tcPr>
            <w:tcW w:w="1249" w:type="pct"/>
            <w:shd w:val="clear" w:color="auto" w:fill="FFFF00"/>
          </w:tcPr>
          <w:p w14:paraId="77632AEB" w14:textId="5925F7FA" w:rsidR="00E863A0" w:rsidRPr="00670221" w:rsidRDefault="00351716" w:rsidP="00351716">
            <w:pPr>
              <w:jc w:val="center"/>
              <w:rPr>
                <w:color w:val="000000" w:themeColor="text1"/>
                <w:sz w:val="20"/>
                <w:szCs w:val="20"/>
                <w:lang w:val="en-US"/>
              </w:rPr>
            </w:pPr>
            <w:r w:rsidRPr="00670221">
              <w:rPr>
                <w:color w:val="000000" w:themeColor="text1"/>
                <w:sz w:val="20"/>
                <w:szCs w:val="20"/>
                <w:lang w:val="en-US"/>
              </w:rPr>
              <w:t>1</w:t>
            </w:r>
          </w:p>
        </w:tc>
        <w:tc>
          <w:tcPr>
            <w:tcW w:w="1249" w:type="pct"/>
            <w:shd w:val="clear" w:color="auto" w:fill="92D050"/>
          </w:tcPr>
          <w:p w14:paraId="32726724" w14:textId="77777777" w:rsidR="00E863A0" w:rsidRPr="00670221" w:rsidRDefault="00E863A0" w:rsidP="00351716">
            <w:pPr>
              <w:jc w:val="center"/>
              <w:rPr>
                <w:color w:val="000000" w:themeColor="text1"/>
                <w:sz w:val="20"/>
                <w:szCs w:val="20"/>
                <w:lang w:val="en-US"/>
              </w:rPr>
            </w:pPr>
          </w:p>
        </w:tc>
        <w:tc>
          <w:tcPr>
            <w:tcW w:w="1248" w:type="pct"/>
            <w:shd w:val="clear" w:color="auto" w:fill="FF0000"/>
          </w:tcPr>
          <w:p w14:paraId="69EBADF6" w14:textId="50F7DCD7" w:rsidR="00E863A0" w:rsidRPr="00670221" w:rsidRDefault="00217C01" w:rsidP="00351716">
            <w:pPr>
              <w:jc w:val="center"/>
              <w:rPr>
                <w:color w:val="000000" w:themeColor="text1"/>
                <w:sz w:val="20"/>
                <w:szCs w:val="20"/>
                <w:lang w:val="en-US"/>
              </w:rPr>
            </w:pPr>
            <w:r w:rsidRPr="00670221">
              <w:rPr>
                <w:color w:val="000000" w:themeColor="text1"/>
                <w:sz w:val="20"/>
                <w:szCs w:val="20"/>
                <w:lang w:val="en-US"/>
              </w:rPr>
              <w:t>3</w:t>
            </w:r>
          </w:p>
        </w:tc>
      </w:tr>
      <w:tr w:rsidR="001C5577" w:rsidRPr="00670221" w14:paraId="7817D86F" w14:textId="77777777" w:rsidTr="00640BC5">
        <w:trPr>
          <w:trHeight w:val="485"/>
        </w:trPr>
        <w:tc>
          <w:tcPr>
            <w:tcW w:w="1254" w:type="pct"/>
          </w:tcPr>
          <w:p w14:paraId="474B65E2" w14:textId="77EE75DB" w:rsidR="001C5577" w:rsidRPr="00670221" w:rsidRDefault="001C5577" w:rsidP="00C336B0">
            <w:pPr>
              <w:rPr>
                <w:b/>
                <w:bCs/>
                <w:sz w:val="20"/>
                <w:szCs w:val="20"/>
                <w:lang w:val="en-US"/>
              </w:rPr>
            </w:pPr>
            <w:r w:rsidRPr="00670221">
              <w:rPr>
                <w:b/>
                <w:bCs/>
                <w:sz w:val="20"/>
                <w:szCs w:val="20"/>
                <w:lang w:val="en-US"/>
              </w:rPr>
              <w:t>Total</w:t>
            </w:r>
            <w:r w:rsidR="00351716" w:rsidRPr="00670221">
              <w:rPr>
                <w:b/>
                <w:bCs/>
                <w:sz w:val="20"/>
                <w:szCs w:val="20"/>
                <w:lang w:val="en-US"/>
              </w:rPr>
              <w:t>:</w:t>
            </w:r>
          </w:p>
        </w:tc>
        <w:tc>
          <w:tcPr>
            <w:tcW w:w="1249" w:type="pct"/>
            <w:shd w:val="clear" w:color="auto" w:fill="auto"/>
          </w:tcPr>
          <w:p w14:paraId="329071DC" w14:textId="0E96ED30" w:rsidR="001C5577" w:rsidRPr="00670221" w:rsidRDefault="001C5577" w:rsidP="00351716">
            <w:pPr>
              <w:jc w:val="center"/>
              <w:rPr>
                <w:color w:val="000000" w:themeColor="text1"/>
                <w:sz w:val="20"/>
                <w:szCs w:val="20"/>
                <w:lang w:val="en-US"/>
              </w:rPr>
            </w:pPr>
            <w:r w:rsidRPr="00670221">
              <w:rPr>
                <w:color w:val="000000" w:themeColor="text1"/>
                <w:sz w:val="20"/>
                <w:szCs w:val="20"/>
                <w:lang w:val="en-US"/>
              </w:rPr>
              <w:t>3</w:t>
            </w:r>
          </w:p>
        </w:tc>
        <w:tc>
          <w:tcPr>
            <w:tcW w:w="1249" w:type="pct"/>
            <w:shd w:val="clear" w:color="auto" w:fill="auto"/>
          </w:tcPr>
          <w:p w14:paraId="6A6CC7D5" w14:textId="53A3116E" w:rsidR="001C5577" w:rsidRPr="00670221" w:rsidRDefault="00B40DE5" w:rsidP="00351716">
            <w:pPr>
              <w:jc w:val="center"/>
              <w:rPr>
                <w:color w:val="000000" w:themeColor="text1"/>
                <w:sz w:val="20"/>
                <w:szCs w:val="20"/>
                <w:lang w:val="en-US"/>
              </w:rPr>
            </w:pPr>
            <w:r w:rsidRPr="00670221">
              <w:rPr>
                <w:color w:val="000000" w:themeColor="text1"/>
                <w:sz w:val="20"/>
                <w:szCs w:val="20"/>
                <w:lang w:val="en-US"/>
              </w:rPr>
              <w:t>2</w:t>
            </w:r>
          </w:p>
        </w:tc>
        <w:tc>
          <w:tcPr>
            <w:tcW w:w="1248" w:type="pct"/>
            <w:shd w:val="clear" w:color="auto" w:fill="auto"/>
          </w:tcPr>
          <w:p w14:paraId="6A3B1815" w14:textId="4CAD3E4F" w:rsidR="001C5577" w:rsidRPr="00670221" w:rsidRDefault="00351716" w:rsidP="00BD16CB">
            <w:pPr>
              <w:keepNext/>
              <w:jc w:val="center"/>
              <w:rPr>
                <w:color w:val="000000" w:themeColor="text1"/>
                <w:sz w:val="20"/>
                <w:szCs w:val="20"/>
                <w:lang w:val="en-US"/>
              </w:rPr>
            </w:pPr>
            <w:r w:rsidRPr="00670221">
              <w:rPr>
                <w:color w:val="000000" w:themeColor="text1"/>
                <w:sz w:val="20"/>
                <w:szCs w:val="20"/>
                <w:lang w:val="en-US"/>
              </w:rPr>
              <w:t>5</w:t>
            </w:r>
          </w:p>
        </w:tc>
      </w:tr>
    </w:tbl>
    <w:p w14:paraId="7B6FF808" w14:textId="780D34B3" w:rsidR="00BD16CB" w:rsidRPr="00670221" w:rsidRDefault="00BD16CB">
      <w:pPr>
        <w:pStyle w:val="Caption"/>
        <w:rPr>
          <w:lang w:val="en-US"/>
        </w:rPr>
      </w:pPr>
      <w:bookmarkStart w:id="71" w:name="_Toc184403586"/>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3</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4</w:t>
      </w:r>
      <w:r w:rsidR="00EF60A5" w:rsidRPr="00670221">
        <w:rPr>
          <w:lang w:val="en-US"/>
        </w:rPr>
        <w:fldChar w:fldCharType="end"/>
      </w:r>
      <w:r w:rsidRPr="00670221">
        <w:rPr>
          <w:lang w:val="en-US"/>
        </w:rPr>
        <w:t xml:space="preserve">: </w:t>
      </w:r>
      <w:r w:rsidR="00EA124D" w:rsidRPr="00670221">
        <w:rPr>
          <w:lang w:val="en-US"/>
        </w:rPr>
        <w:t>E</w:t>
      </w:r>
      <w:r w:rsidRPr="00670221">
        <w:rPr>
          <w:lang w:val="en-US"/>
        </w:rPr>
        <w:t>nergy source scoring table</w:t>
      </w:r>
      <w:bookmarkEnd w:id="71"/>
    </w:p>
    <w:p w14:paraId="0B224EBF" w14:textId="3E33B91F" w:rsidR="00C61F4A" w:rsidRPr="00670221" w:rsidRDefault="00B9529C" w:rsidP="00B66898">
      <w:pPr>
        <w:rPr>
          <w:lang w:val="en-US"/>
        </w:rPr>
      </w:pPr>
      <w:r w:rsidRPr="00670221">
        <w:rPr>
          <w:lang w:val="en-US"/>
        </w:rPr>
        <w:t>Building dedicated renewable or nuclear capacity allows e-fuel projects to achieve energy independence, insulating them from market uncertainties and price fluctuations tied to grid-sourced electricity. By bypassing grid congestion and associated costs like taxes and transmission fees, projects can ensure a stable and predictable energy supply over time.</w:t>
      </w:r>
      <w:r w:rsidR="00790A59" w:rsidRPr="00670221">
        <w:rPr>
          <w:lang w:val="en-US"/>
        </w:rPr>
        <w:t xml:space="preserve"> </w:t>
      </w:r>
      <w:r w:rsidR="00C61F4A" w:rsidRPr="00670221">
        <w:rPr>
          <w:lang w:val="en-US"/>
        </w:rPr>
        <w:t>A connection to the grid does not offer these benefits, which is why it scores lower on energy independence compared to dedicated energy generation options.</w:t>
      </w:r>
    </w:p>
    <w:p w14:paraId="17FB65A5" w14:textId="35E41C66" w:rsidR="00B0340B" w:rsidRPr="00670221" w:rsidRDefault="005A0D05" w:rsidP="00B66898">
      <w:pPr>
        <w:rPr>
          <w:lang w:val="en-US"/>
        </w:rPr>
      </w:pPr>
      <w:r w:rsidRPr="00670221">
        <w:rPr>
          <w:lang w:val="en-US"/>
        </w:rPr>
        <w:t>Hydropower provides a stable and continuous energy output, but it is already extensively</w:t>
      </w:r>
      <w:r w:rsidR="00C61F4A" w:rsidRPr="00670221">
        <w:rPr>
          <w:lang w:val="en-US"/>
        </w:rPr>
        <w:t xml:space="preserve"> </w:t>
      </w:r>
      <w:r w:rsidRPr="00670221">
        <w:rPr>
          <w:lang w:val="en-US"/>
        </w:rPr>
        <w:t>utilized where available, leaving more intermittent sources like wind and solar as the primary renewable options for near-term expansion (International Energy Agency, 2021). These alternatives, however, require time to be built</w:t>
      </w:r>
      <w:r w:rsidR="00B0340B" w:rsidRPr="00670221">
        <w:rPr>
          <w:lang w:val="en-US"/>
        </w:rPr>
        <w:t xml:space="preserve">. Although nuclear energy provides a reliable and consistent power source, it faces sustainability challenges, including the use of non-renewable materials and waste management issues. Moreover, nuclear energy's short-term viability is hindered by high </w:t>
      </w:r>
      <w:r w:rsidR="005F5CF1" w:rsidRPr="00670221">
        <w:rPr>
          <w:lang w:val="en-US"/>
        </w:rPr>
        <w:t xml:space="preserve">investment </w:t>
      </w:r>
      <w:r w:rsidR="00B0340B" w:rsidRPr="00670221">
        <w:rPr>
          <w:lang w:val="en-US"/>
        </w:rPr>
        <w:t xml:space="preserve">costs, long construction timelines, and complex regulatory barriers, making it less favorable for supporting the electricity needs of synthetic aviation fuel production. While existing nuclear plants could potentially supply energy for this purpose, their current capacity is mostly dedicated to meeting existing </w:t>
      </w:r>
      <w:r w:rsidR="00217E56" w:rsidRPr="00670221">
        <w:rPr>
          <w:lang w:val="en-US"/>
        </w:rPr>
        <w:t>base load</w:t>
      </w:r>
      <w:r w:rsidR="001341FA" w:rsidRPr="00670221">
        <w:rPr>
          <w:lang w:val="en-US"/>
        </w:rPr>
        <w:t xml:space="preserve"> (World Nuclear Association, 2024)</w:t>
      </w:r>
      <w:r w:rsidR="00B0340B" w:rsidRPr="00670221">
        <w:rPr>
          <w:lang w:val="en-US"/>
        </w:rPr>
        <w:t xml:space="preserve">. Expanding nuclear energy is constrained by significant societal and regulatory hurdles within the EU, limiting its role in </w:t>
      </w:r>
      <w:proofErr w:type="spellStart"/>
      <w:r w:rsidR="00B0340B" w:rsidRPr="00670221">
        <w:rPr>
          <w:lang w:val="en-US"/>
        </w:rPr>
        <w:t>eSAF</w:t>
      </w:r>
      <w:proofErr w:type="spellEnd"/>
      <w:r w:rsidR="00B0340B" w:rsidRPr="00670221">
        <w:rPr>
          <w:lang w:val="en-US"/>
        </w:rPr>
        <w:t xml:space="preserve"> production.</w:t>
      </w:r>
    </w:p>
    <w:p w14:paraId="666D5BE0" w14:textId="226C32D0" w:rsidR="001A2633" w:rsidRPr="00670221" w:rsidRDefault="00C1507D" w:rsidP="00493887">
      <w:pPr>
        <w:pStyle w:val="Heading4"/>
        <w:rPr>
          <w:lang w:val="en-US"/>
        </w:rPr>
      </w:pPr>
      <w:r w:rsidRPr="00670221">
        <w:rPr>
          <w:lang w:val="en-US"/>
        </w:rPr>
        <w:t>Electrolysis</w:t>
      </w:r>
    </w:p>
    <w:tbl>
      <w:tblPr>
        <w:tblStyle w:val="TableGrid"/>
        <w:tblW w:w="5000" w:type="pct"/>
        <w:tblLook w:val="04A0" w:firstRow="1" w:lastRow="0" w:firstColumn="1" w:lastColumn="0" w:noHBand="0" w:noVBand="1"/>
      </w:tblPr>
      <w:tblGrid>
        <w:gridCol w:w="2260"/>
        <w:gridCol w:w="2252"/>
        <w:gridCol w:w="2252"/>
        <w:gridCol w:w="2252"/>
      </w:tblGrid>
      <w:tr w:rsidR="00A3473B" w:rsidRPr="00670221" w14:paraId="018586C8" w14:textId="77777777" w:rsidTr="00640BC5">
        <w:trPr>
          <w:trHeight w:val="227"/>
        </w:trPr>
        <w:tc>
          <w:tcPr>
            <w:tcW w:w="1253" w:type="pct"/>
          </w:tcPr>
          <w:p w14:paraId="33F4BFED" w14:textId="77777777" w:rsidR="00A3473B" w:rsidRPr="00670221" w:rsidRDefault="00A3473B" w:rsidP="00170725">
            <w:pPr>
              <w:rPr>
                <w:sz w:val="20"/>
                <w:szCs w:val="20"/>
                <w:lang w:val="en-US"/>
              </w:rPr>
            </w:pPr>
          </w:p>
        </w:tc>
        <w:tc>
          <w:tcPr>
            <w:tcW w:w="1249" w:type="pct"/>
          </w:tcPr>
          <w:p w14:paraId="4F73C355" w14:textId="5C04E8C6" w:rsidR="00A3473B" w:rsidRPr="00670221" w:rsidRDefault="00A3473B" w:rsidP="00351716">
            <w:pPr>
              <w:jc w:val="center"/>
              <w:rPr>
                <w:sz w:val="20"/>
                <w:szCs w:val="20"/>
                <w:lang w:val="en-US"/>
              </w:rPr>
            </w:pPr>
            <w:r w:rsidRPr="00670221">
              <w:rPr>
                <w:sz w:val="20"/>
                <w:szCs w:val="20"/>
                <w:lang w:val="en-US"/>
              </w:rPr>
              <w:t>AE</w:t>
            </w:r>
          </w:p>
        </w:tc>
        <w:tc>
          <w:tcPr>
            <w:tcW w:w="1249" w:type="pct"/>
          </w:tcPr>
          <w:p w14:paraId="271984B9" w14:textId="5C08C331" w:rsidR="00A3473B" w:rsidRPr="00670221" w:rsidRDefault="00A3473B" w:rsidP="00351716">
            <w:pPr>
              <w:jc w:val="center"/>
              <w:rPr>
                <w:sz w:val="20"/>
                <w:szCs w:val="20"/>
                <w:lang w:val="en-US"/>
              </w:rPr>
            </w:pPr>
            <w:r w:rsidRPr="00670221">
              <w:rPr>
                <w:sz w:val="20"/>
                <w:szCs w:val="20"/>
                <w:lang w:val="en-US"/>
              </w:rPr>
              <w:t>PEM</w:t>
            </w:r>
          </w:p>
        </w:tc>
        <w:tc>
          <w:tcPr>
            <w:tcW w:w="1249" w:type="pct"/>
          </w:tcPr>
          <w:p w14:paraId="190575D1" w14:textId="1C84F89B" w:rsidR="00A3473B" w:rsidRPr="00670221" w:rsidRDefault="00A3473B" w:rsidP="00351716">
            <w:pPr>
              <w:jc w:val="center"/>
              <w:rPr>
                <w:sz w:val="20"/>
                <w:szCs w:val="20"/>
                <w:lang w:val="en-US"/>
              </w:rPr>
            </w:pPr>
            <w:r w:rsidRPr="00670221">
              <w:rPr>
                <w:sz w:val="20"/>
                <w:szCs w:val="20"/>
                <w:lang w:val="en-US"/>
              </w:rPr>
              <w:t>SOE</w:t>
            </w:r>
          </w:p>
        </w:tc>
      </w:tr>
      <w:tr w:rsidR="00340AFB" w:rsidRPr="00670221" w14:paraId="160A080F" w14:textId="77777777" w:rsidTr="00640BC5">
        <w:trPr>
          <w:trHeight w:val="227"/>
        </w:trPr>
        <w:tc>
          <w:tcPr>
            <w:tcW w:w="1253" w:type="pct"/>
          </w:tcPr>
          <w:p w14:paraId="7A904E71" w14:textId="549CED22" w:rsidR="00A3473B" w:rsidRPr="00670221" w:rsidRDefault="00A3473B" w:rsidP="00170725">
            <w:pPr>
              <w:rPr>
                <w:sz w:val="20"/>
                <w:szCs w:val="20"/>
                <w:lang w:val="en-US"/>
              </w:rPr>
            </w:pPr>
            <w:r w:rsidRPr="00670221">
              <w:rPr>
                <w:sz w:val="20"/>
                <w:szCs w:val="20"/>
                <w:lang w:val="en-US"/>
              </w:rPr>
              <w:t>TRL</w:t>
            </w:r>
          </w:p>
        </w:tc>
        <w:tc>
          <w:tcPr>
            <w:tcW w:w="1249" w:type="pct"/>
            <w:shd w:val="clear" w:color="auto" w:fill="92D050"/>
          </w:tcPr>
          <w:p w14:paraId="0D1E3034" w14:textId="77777777" w:rsidR="00A3473B" w:rsidRPr="00670221" w:rsidRDefault="00A3473B" w:rsidP="00351716">
            <w:pPr>
              <w:jc w:val="center"/>
              <w:rPr>
                <w:color w:val="000000" w:themeColor="text1"/>
                <w:sz w:val="20"/>
                <w:szCs w:val="20"/>
                <w:lang w:val="en-US"/>
              </w:rPr>
            </w:pPr>
          </w:p>
        </w:tc>
        <w:tc>
          <w:tcPr>
            <w:tcW w:w="1249" w:type="pct"/>
            <w:shd w:val="clear" w:color="auto" w:fill="FFFF00"/>
          </w:tcPr>
          <w:p w14:paraId="5A2BF02A" w14:textId="585554E7" w:rsidR="00A3473B" w:rsidRPr="00670221" w:rsidRDefault="00191FF4" w:rsidP="00351716">
            <w:pPr>
              <w:jc w:val="center"/>
              <w:rPr>
                <w:color w:val="000000" w:themeColor="text1"/>
                <w:sz w:val="20"/>
                <w:szCs w:val="20"/>
                <w:lang w:val="en-US"/>
              </w:rPr>
            </w:pPr>
            <w:r w:rsidRPr="00670221">
              <w:rPr>
                <w:color w:val="000000" w:themeColor="text1"/>
                <w:sz w:val="20"/>
                <w:szCs w:val="20"/>
                <w:lang w:val="en-US"/>
              </w:rPr>
              <w:t>1</w:t>
            </w:r>
          </w:p>
        </w:tc>
        <w:tc>
          <w:tcPr>
            <w:tcW w:w="1249" w:type="pct"/>
            <w:shd w:val="clear" w:color="auto" w:fill="FFC000"/>
          </w:tcPr>
          <w:p w14:paraId="62A95AB7" w14:textId="0CECD4F6" w:rsidR="00A3473B" w:rsidRPr="00670221" w:rsidRDefault="00191FF4" w:rsidP="00351716">
            <w:pPr>
              <w:jc w:val="center"/>
              <w:rPr>
                <w:color w:val="000000" w:themeColor="text1"/>
                <w:sz w:val="20"/>
                <w:szCs w:val="20"/>
                <w:lang w:val="en-US"/>
              </w:rPr>
            </w:pPr>
            <w:r w:rsidRPr="00670221">
              <w:rPr>
                <w:color w:val="000000" w:themeColor="text1"/>
                <w:sz w:val="20"/>
                <w:szCs w:val="20"/>
                <w:lang w:val="en-US"/>
              </w:rPr>
              <w:t>2</w:t>
            </w:r>
          </w:p>
        </w:tc>
      </w:tr>
      <w:tr w:rsidR="008B1C7E" w:rsidRPr="00670221" w14:paraId="1491F346" w14:textId="77777777" w:rsidTr="00640BC5">
        <w:trPr>
          <w:trHeight w:val="227"/>
        </w:trPr>
        <w:tc>
          <w:tcPr>
            <w:tcW w:w="1253" w:type="pct"/>
          </w:tcPr>
          <w:p w14:paraId="19E3D84E" w14:textId="30A580D8" w:rsidR="00A3473B" w:rsidRPr="00670221" w:rsidRDefault="00A3473B" w:rsidP="00170725">
            <w:pPr>
              <w:rPr>
                <w:sz w:val="20"/>
                <w:szCs w:val="20"/>
                <w:lang w:val="en-US"/>
              </w:rPr>
            </w:pPr>
            <w:r w:rsidRPr="00670221">
              <w:rPr>
                <w:sz w:val="20"/>
                <w:szCs w:val="20"/>
                <w:lang w:val="en-US"/>
              </w:rPr>
              <w:t>Efficiency</w:t>
            </w:r>
          </w:p>
        </w:tc>
        <w:tc>
          <w:tcPr>
            <w:tcW w:w="1249" w:type="pct"/>
            <w:shd w:val="clear" w:color="auto" w:fill="FFC000"/>
          </w:tcPr>
          <w:p w14:paraId="54EDEC4C" w14:textId="7F6C5BF7" w:rsidR="00A3473B" w:rsidRPr="00670221" w:rsidRDefault="00191FF4" w:rsidP="00351716">
            <w:pPr>
              <w:jc w:val="center"/>
              <w:rPr>
                <w:color w:val="000000" w:themeColor="text1"/>
                <w:sz w:val="20"/>
                <w:szCs w:val="20"/>
                <w:lang w:val="en-US"/>
              </w:rPr>
            </w:pPr>
            <w:r w:rsidRPr="00670221">
              <w:rPr>
                <w:color w:val="000000" w:themeColor="text1"/>
                <w:sz w:val="20"/>
                <w:szCs w:val="20"/>
                <w:lang w:val="en-US"/>
              </w:rPr>
              <w:t>2</w:t>
            </w:r>
          </w:p>
        </w:tc>
        <w:tc>
          <w:tcPr>
            <w:tcW w:w="1249" w:type="pct"/>
            <w:shd w:val="clear" w:color="auto" w:fill="FFFF00"/>
          </w:tcPr>
          <w:p w14:paraId="468EEFC8" w14:textId="5CA6FAB5" w:rsidR="00A3473B" w:rsidRPr="00670221" w:rsidRDefault="00191FF4" w:rsidP="00351716">
            <w:pPr>
              <w:jc w:val="center"/>
              <w:rPr>
                <w:color w:val="000000" w:themeColor="text1"/>
                <w:sz w:val="20"/>
                <w:szCs w:val="20"/>
                <w:lang w:val="en-US"/>
              </w:rPr>
            </w:pPr>
            <w:r w:rsidRPr="00670221">
              <w:rPr>
                <w:color w:val="000000" w:themeColor="text1"/>
                <w:sz w:val="20"/>
                <w:szCs w:val="20"/>
                <w:lang w:val="en-US"/>
              </w:rPr>
              <w:t>1</w:t>
            </w:r>
          </w:p>
        </w:tc>
        <w:tc>
          <w:tcPr>
            <w:tcW w:w="1249" w:type="pct"/>
            <w:shd w:val="clear" w:color="auto" w:fill="92D050"/>
          </w:tcPr>
          <w:p w14:paraId="7491B321" w14:textId="77777777" w:rsidR="00A3473B" w:rsidRPr="00670221" w:rsidRDefault="00A3473B" w:rsidP="00351716">
            <w:pPr>
              <w:jc w:val="center"/>
              <w:rPr>
                <w:color w:val="000000" w:themeColor="text1"/>
                <w:sz w:val="20"/>
                <w:szCs w:val="20"/>
                <w:lang w:val="en-US"/>
              </w:rPr>
            </w:pPr>
          </w:p>
        </w:tc>
      </w:tr>
      <w:tr w:rsidR="00A3473B" w:rsidRPr="00670221" w14:paraId="143EFDC3" w14:textId="77777777" w:rsidTr="00640BC5">
        <w:trPr>
          <w:trHeight w:val="227"/>
        </w:trPr>
        <w:tc>
          <w:tcPr>
            <w:tcW w:w="1253" w:type="pct"/>
          </w:tcPr>
          <w:p w14:paraId="3E2E88B1" w14:textId="48B0CD0C" w:rsidR="00A3473B" w:rsidRPr="00670221" w:rsidRDefault="00A3473B" w:rsidP="00170725">
            <w:pPr>
              <w:rPr>
                <w:sz w:val="20"/>
                <w:szCs w:val="20"/>
                <w:lang w:val="en-US"/>
              </w:rPr>
            </w:pPr>
            <w:r w:rsidRPr="00670221">
              <w:rPr>
                <w:sz w:val="20"/>
                <w:szCs w:val="20"/>
                <w:lang w:val="en-US"/>
              </w:rPr>
              <w:t>System integration</w:t>
            </w:r>
          </w:p>
        </w:tc>
        <w:tc>
          <w:tcPr>
            <w:tcW w:w="1249" w:type="pct"/>
            <w:shd w:val="clear" w:color="auto" w:fill="FFFF00"/>
          </w:tcPr>
          <w:p w14:paraId="1A3EB3FD" w14:textId="7B110E0F" w:rsidR="00A3473B" w:rsidRPr="00670221" w:rsidRDefault="00191FF4" w:rsidP="00351716">
            <w:pPr>
              <w:jc w:val="center"/>
              <w:rPr>
                <w:color w:val="000000" w:themeColor="text1"/>
                <w:sz w:val="20"/>
                <w:szCs w:val="20"/>
                <w:lang w:val="en-US"/>
              </w:rPr>
            </w:pPr>
            <w:r w:rsidRPr="00670221">
              <w:rPr>
                <w:color w:val="000000" w:themeColor="text1"/>
                <w:sz w:val="20"/>
                <w:szCs w:val="20"/>
                <w:lang w:val="en-US"/>
              </w:rPr>
              <w:t>1</w:t>
            </w:r>
          </w:p>
        </w:tc>
        <w:tc>
          <w:tcPr>
            <w:tcW w:w="1249" w:type="pct"/>
            <w:shd w:val="clear" w:color="auto" w:fill="92D050"/>
          </w:tcPr>
          <w:p w14:paraId="728BA189" w14:textId="77777777" w:rsidR="00A3473B" w:rsidRPr="00670221" w:rsidRDefault="00A3473B" w:rsidP="00351716">
            <w:pPr>
              <w:jc w:val="center"/>
              <w:rPr>
                <w:color w:val="000000" w:themeColor="text1"/>
                <w:sz w:val="20"/>
                <w:szCs w:val="20"/>
                <w:lang w:val="en-US"/>
              </w:rPr>
            </w:pPr>
          </w:p>
        </w:tc>
        <w:tc>
          <w:tcPr>
            <w:tcW w:w="1249" w:type="pct"/>
            <w:shd w:val="clear" w:color="auto" w:fill="92D050"/>
          </w:tcPr>
          <w:p w14:paraId="71C1008C" w14:textId="77777777" w:rsidR="00A3473B" w:rsidRPr="00670221" w:rsidRDefault="00A3473B" w:rsidP="00351716">
            <w:pPr>
              <w:jc w:val="center"/>
              <w:rPr>
                <w:color w:val="000000" w:themeColor="text1"/>
                <w:sz w:val="20"/>
                <w:szCs w:val="20"/>
                <w:lang w:val="en-US"/>
              </w:rPr>
            </w:pPr>
          </w:p>
        </w:tc>
      </w:tr>
      <w:tr w:rsidR="00351716" w:rsidRPr="00670221" w14:paraId="042CDA87" w14:textId="77777777" w:rsidTr="00640BC5">
        <w:trPr>
          <w:trHeight w:val="227"/>
        </w:trPr>
        <w:tc>
          <w:tcPr>
            <w:tcW w:w="1253" w:type="pct"/>
          </w:tcPr>
          <w:p w14:paraId="2B100FD7" w14:textId="77200335" w:rsidR="00351716" w:rsidRPr="00670221" w:rsidRDefault="00351716" w:rsidP="00170725">
            <w:pPr>
              <w:rPr>
                <w:b/>
                <w:bCs/>
                <w:sz w:val="20"/>
                <w:szCs w:val="20"/>
                <w:lang w:val="en-US"/>
              </w:rPr>
            </w:pPr>
            <w:r w:rsidRPr="00670221">
              <w:rPr>
                <w:b/>
                <w:bCs/>
                <w:sz w:val="20"/>
                <w:szCs w:val="20"/>
                <w:lang w:val="en-US"/>
              </w:rPr>
              <w:t>Total:</w:t>
            </w:r>
          </w:p>
        </w:tc>
        <w:tc>
          <w:tcPr>
            <w:tcW w:w="1249" w:type="pct"/>
            <w:shd w:val="clear" w:color="auto" w:fill="auto"/>
          </w:tcPr>
          <w:p w14:paraId="223C69AC" w14:textId="0D56BC08" w:rsidR="00351716" w:rsidRPr="00670221" w:rsidRDefault="00191FF4" w:rsidP="00351716">
            <w:pPr>
              <w:jc w:val="center"/>
              <w:rPr>
                <w:color w:val="000000" w:themeColor="text1"/>
                <w:sz w:val="20"/>
                <w:szCs w:val="20"/>
                <w:lang w:val="en-US"/>
              </w:rPr>
            </w:pPr>
            <w:r w:rsidRPr="00670221">
              <w:rPr>
                <w:color w:val="000000" w:themeColor="text1"/>
                <w:sz w:val="20"/>
                <w:szCs w:val="20"/>
                <w:lang w:val="en-US"/>
              </w:rPr>
              <w:t>3</w:t>
            </w:r>
          </w:p>
        </w:tc>
        <w:tc>
          <w:tcPr>
            <w:tcW w:w="1249" w:type="pct"/>
            <w:shd w:val="clear" w:color="auto" w:fill="auto"/>
          </w:tcPr>
          <w:p w14:paraId="02AEB8AA" w14:textId="04D9538E" w:rsidR="00351716" w:rsidRPr="00670221" w:rsidRDefault="00191FF4" w:rsidP="00351716">
            <w:pPr>
              <w:jc w:val="center"/>
              <w:rPr>
                <w:color w:val="000000" w:themeColor="text1"/>
                <w:sz w:val="20"/>
                <w:szCs w:val="20"/>
                <w:lang w:val="en-US"/>
              </w:rPr>
            </w:pPr>
            <w:r w:rsidRPr="00670221">
              <w:rPr>
                <w:color w:val="000000" w:themeColor="text1"/>
                <w:sz w:val="20"/>
                <w:szCs w:val="20"/>
                <w:lang w:val="en-US"/>
              </w:rPr>
              <w:t>2</w:t>
            </w:r>
          </w:p>
        </w:tc>
        <w:tc>
          <w:tcPr>
            <w:tcW w:w="1249" w:type="pct"/>
            <w:shd w:val="clear" w:color="auto" w:fill="auto"/>
          </w:tcPr>
          <w:p w14:paraId="03EF08AF" w14:textId="20671EEB" w:rsidR="00351716" w:rsidRPr="00670221" w:rsidRDefault="00191FF4" w:rsidP="008B10EE">
            <w:pPr>
              <w:keepNext/>
              <w:jc w:val="center"/>
              <w:rPr>
                <w:color w:val="000000" w:themeColor="text1"/>
                <w:sz w:val="20"/>
                <w:szCs w:val="20"/>
                <w:lang w:val="en-US"/>
              </w:rPr>
            </w:pPr>
            <w:r w:rsidRPr="00670221">
              <w:rPr>
                <w:color w:val="000000" w:themeColor="text1"/>
                <w:sz w:val="20"/>
                <w:szCs w:val="20"/>
                <w:lang w:val="en-US"/>
              </w:rPr>
              <w:t>2</w:t>
            </w:r>
          </w:p>
        </w:tc>
      </w:tr>
    </w:tbl>
    <w:p w14:paraId="40D74ACF" w14:textId="7706D667" w:rsidR="008B10EE" w:rsidRPr="00670221" w:rsidRDefault="008B10EE">
      <w:pPr>
        <w:pStyle w:val="Caption"/>
        <w:rPr>
          <w:lang w:val="en-US"/>
        </w:rPr>
      </w:pPr>
      <w:bookmarkStart w:id="72" w:name="_Toc184403587"/>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3</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5</w:t>
      </w:r>
      <w:r w:rsidR="00EF60A5" w:rsidRPr="00670221">
        <w:rPr>
          <w:lang w:val="en-US"/>
        </w:rPr>
        <w:fldChar w:fldCharType="end"/>
      </w:r>
      <w:r w:rsidRPr="00670221">
        <w:rPr>
          <w:lang w:val="en-US"/>
        </w:rPr>
        <w:t xml:space="preserve">: </w:t>
      </w:r>
      <w:r w:rsidR="00EA124D" w:rsidRPr="00670221">
        <w:rPr>
          <w:lang w:val="en-US"/>
        </w:rPr>
        <w:t>E</w:t>
      </w:r>
      <w:r w:rsidRPr="00670221">
        <w:rPr>
          <w:lang w:val="en-US"/>
        </w:rPr>
        <w:t>lectrolysis technology scoring table</w:t>
      </w:r>
      <w:bookmarkEnd w:id="72"/>
    </w:p>
    <w:p w14:paraId="7DA16516" w14:textId="34112350" w:rsidR="00417CE3" w:rsidRPr="00670221" w:rsidRDefault="00417CE3" w:rsidP="00C336B0">
      <w:pPr>
        <w:rPr>
          <w:lang w:val="en-US"/>
        </w:rPr>
      </w:pPr>
      <w:r w:rsidRPr="00670221">
        <w:rPr>
          <w:lang w:val="en-US"/>
        </w:rPr>
        <w:t xml:space="preserve">Alkaline Electrolysis achieves the highest Technology Readiness Level </w:t>
      </w:r>
      <w:r w:rsidR="00D84245">
        <w:rPr>
          <w:lang w:val="en-US"/>
        </w:rPr>
        <w:t>(</w:t>
      </w:r>
      <w:r w:rsidRPr="00670221">
        <w:rPr>
          <w:lang w:val="en-US"/>
        </w:rPr>
        <w:t xml:space="preserve">8-9) due to its long-standing industrial use, but it falls short in efficiency compared to other methods and presents no significant technological benefits for </w:t>
      </w:r>
      <w:proofErr w:type="spellStart"/>
      <w:r w:rsidRPr="00670221">
        <w:rPr>
          <w:lang w:val="en-US"/>
        </w:rPr>
        <w:t>eSAF</w:t>
      </w:r>
      <w:proofErr w:type="spellEnd"/>
      <w:r w:rsidRPr="00670221">
        <w:rPr>
          <w:lang w:val="en-US"/>
        </w:rPr>
        <w:t xml:space="preserve"> production, reflected in its lower score for system integration. Proton </w:t>
      </w:r>
      <w:r w:rsidR="0097058D">
        <w:rPr>
          <w:lang w:val="en-US"/>
        </w:rPr>
        <w:t>e</w:t>
      </w:r>
      <w:r w:rsidRPr="00670221">
        <w:rPr>
          <w:lang w:val="en-US"/>
        </w:rPr>
        <w:t xml:space="preserve">xchange </w:t>
      </w:r>
      <w:r w:rsidR="0097058D">
        <w:rPr>
          <w:lang w:val="en-US"/>
        </w:rPr>
        <w:t>m</w:t>
      </w:r>
      <w:r w:rsidRPr="00670221">
        <w:rPr>
          <w:lang w:val="en-US"/>
        </w:rPr>
        <w:t xml:space="preserve">embrane </w:t>
      </w:r>
      <w:r w:rsidR="0097058D">
        <w:rPr>
          <w:lang w:val="en-US"/>
        </w:rPr>
        <w:t>e</w:t>
      </w:r>
      <w:r w:rsidRPr="00670221">
        <w:rPr>
          <w:lang w:val="en-US"/>
        </w:rPr>
        <w:t xml:space="preserve">lectrolysis, with a TRL of 6-8, offers better efficiency than AE, though it still </w:t>
      </w:r>
      <w:proofErr w:type="gramStart"/>
      <w:r w:rsidR="00B549D3" w:rsidRPr="00670221">
        <w:rPr>
          <w:lang w:val="en-US"/>
        </w:rPr>
        <w:t>lags</w:t>
      </w:r>
      <w:r w:rsidRPr="00670221">
        <w:rPr>
          <w:lang w:val="en-US"/>
        </w:rPr>
        <w:t xml:space="preserve"> </w:t>
      </w:r>
      <w:r w:rsidR="00B549D3" w:rsidRPr="00670221">
        <w:rPr>
          <w:lang w:val="en-US"/>
        </w:rPr>
        <w:t>behind</w:t>
      </w:r>
      <w:proofErr w:type="gramEnd"/>
      <w:r w:rsidR="00B549D3" w:rsidRPr="00670221">
        <w:rPr>
          <w:lang w:val="en-US"/>
        </w:rPr>
        <w:t xml:space="preserve"> </w:t>
      </w:r>
      <w:r w:rsidR="0097058D">
        <w:rPr>
          <w:lang w:val="en-US"/>
        </w:rPr>
        <w:t>s</w:t>
      </w:r>
      <w:r w:rsidRPr="00670221">
        <w:rPr>
          <w:lang w:val="en-US"/>
        </w:rPr>
        <w:t xml:space="preserve">olid </w:t>
      </w:r>
      <w:r w:rsidR="0097058D">
        <w:rPr>
          <w:lang w:val="en-US"/>
        </w:rPr>
        <w:t>o</w:t>
      </w:r>
      <w:r w:rsidRPr="00670221">
        <w:rPr>
          <w:lang w:val="en-US"/>
        </w:rPr>
        <w:t xml:space="preserve">xide </w:t>
      </w:r>
      <w:r w:rsidR="0097058D">
        <w:rPr>
          <w:lang w:val="en-US"/>
        </w:rPr>
        <w:t>e</w:t>
      </w:r>
      <w:r w:rsidRPr="00670221">
        <w:rPr>
          <w:lang w:val="en-US"/>
        </w:rPr>
        <w:t>lectrolysis. PEM's ability to integrate effectively with intermittent renewable energy sources is a notable advantage. SOE, being a newer technology, has the lowest TRL, particularly in the context of co-electrolysis, but its capability to directly co-electrolyze CO₂ and water significantly improves system integration by eliminating a synthesis step. Additionally, its high operating temperatures result in the highest efficiency among the three electrolysis methods.</w:t>
      </w:r>
    </w:p>
    <w:p w14:paraId="40A70A52" w14:textId="6D88FC16" w:rsidR="006F321E" w:rsidRPr="00670221" w:rsidRDefault="00A80FD7" w:rsidP="00493887">
      <w:pPr>
        <w:pStyle w:val="Heading4"/>
        <w:rPr>
          <w:lang w:val="en-US"/>
        </w:rPr>
      </w:pPr>
      <w:r w:rsidRPr="00670221">
        <w:rPr>
          <w:lang w:val="en-US"/>
        </w:rPr>
        <w:lastRenderedPageBreak/>
        <w:t xml:space="preserve">Energy </w:t>
      </w:r>
      <w:r w:rsidR="00493887" w:rsidRPr="00670221">
        <w:rPr>
          <w:lang w:val="en-US"/>
        </w:rPr>
        <w:t>C</w:t>
      </w:r>
      <w:r w:rsidRPr="00670221">
        <w:rPr>
          <w:lang w:val="en-US"/>
        </w:rPr>
        <w:t>arrier</w:t>
      </w:r>
    </w:p>
    <w:tbl>
      <w:tblPr>
        <w:tblStyle w:val="TableGrid"/>
        <w:tblW w:w="5000" w:type="pct"/>
        <w:tblLook w:val="04A0" w:firstRow="1" w:lastRow="0" w:firstColumn="1" w:lastColumn="0" w:noHBand="0" w:noVBand="1"/>
      </w:tblPr>
      <w:tblGrid>
        <w:gridCol w:w="2279"/>
        <w:gridCol w:w="1347"/>
        <w:gridCol w:w="1347"/>
        <w:gridCol w:w="1347"/>
        <w:gridCol w:w="1347"/>
        <w:gridCol w:w="1349"/>
      </w:tblGrid>
      <w:tr w:rsidR="00562DC6" w:rsidRPr="00670221" w14:paraId="6716039A" w14:textId="4E68F8B5" w:rsidTr="000568C0">
        <w:trPr>
          <w:trHeight w:val="227"/>
        </w:trPr>
        <w:tc>
          <w:tcPr>
            <w:tcW w:w="1264" w:type="pct"/>
          </w:tcPr>
          <w:p w14:paraId="06EB4B9E" w14:textId="77777777" w:rsidR="00562DC6" w:rsidRPr="00670221" w:rsidRDefault="00562DC6" w:rsidP="001913C4">
            <w:pPr>
              <w:rPr>
                <w:sz w:val="20"/>
                <w:szCs w:val="20"/>
                <w:lang w:val="en-US"/>
              </w:rPr>
            </w:pPr>
          </w:p>
        </w:tc>
        <w:tc>
          <w:tcPr>
            <w:tcW w:w="747" w:type="pct"/>
          </w:tcPr>
          <w:p w14:paraId="0BC0AEDD" w14:textId="0D11A13A" w:rsidR="00562DC6" w:rsidRPr="00670221" w:rsidRDefault="00562DC6" w:rsidP="000D508C">
            <w:pPr>
              <w:jc w:val="center"/>
              <w:rPr>
                <w:sz w:val="20"/>
                <w:szCs w:val="20"/>
                <w:lang w:val="en-US"/>
              </w:rPr>
            </w:pPr>
            <w:r w:rsidRPr="00670221">
              <w:rPr>
                <w:sz w:val="20"/>
                <w:szCs w:val="20"/>
                <w:lang w:val="en-US"/>
              </w:rPr>
              <w:t>Biomass</w:t>
            </w:r>
          </w:p>
        </w:tc>
        <w:tc>
          <w:tcPr>
            <w:tcW w:w="747" w:type="pct"/>
          </w:tcPr>
          <w:p w14:paraId="7A010C2E" w14:textId="6E9915C5" w:rsidR="00562DC6" w:rsidRPr="00670221" w:rsidRDefault="00562DC6" w:rsidP="000D508C">
            <w:pPr>
              <w:jc w:val="center"/>
              <w:rPr>
                <w:sz w:val="20"/>
                <w:szCs w:val="20"/>
                <w:lang w:val="en-US"/>
              </w:rPr>
            </w:pPr>
            <w:r w:rsidRPr="00670221">
              <w:rPr>
                <w:sz w:val="20"/>
                <w:szCs w:val="20"/>
                <w:lang w:val="en-US"/>
              </w:rPr>
              <w:t>Biogenic</w:t>
            </w:r>
          </w:p>
        </w:tc>
        <w:tc>
          <w:tcPr>
            <w:tcW w:w="747" w:type="pct"/>
          </w:tcPr>
          <w:p w14:paraId="031D1822" w14:textId="786707BB" w:rsidR="00562DC6" w:rsidRPr="00670221" w:rsidRDefault="00562DC6" w:rsidP="000D508C">
            <w:pPr>
              <w:jc w:val="center"/>
              <w:rPr>
                <w:sz w:val="20"/>
                <w:szCs w:val="20"/>
                <w:lang w:val="en-US"/>
              </w:rPr>
            </w:pPr>
            <w:r w:rsidRPr="00670221">
              <w:rPr>
                <w:sz w:val="20"/>
                <w:szCs w:val="20"/>
                <w:lang w:val="en-US"/>
              </w:rPr>
              <w:t>Fossil</w:t>
            </w:r>
          </w:p>
        </w:tc>
        <w:tc>
          <w:tcPr>
            <w:tcW w:w="747" w:type="pct"/>
          </w:tcPr>
          <w:p w14:paraId="153D2DE2" w14:textId="072A2F03" w:rsidR="00562DC6" w:rsidRPr="00670221" w:rsidRDefault="00562DC6" w:rsidP="000D508C">
            <w:pPr>
              <w:jc w:val="center"/>
              <w:rPr>
                <w:sz w:val="20"/>
                <w:szCs w:val="20"/>
                <w:lang w:val="en-US"/>
              </w:rPr>
            </w:pPr>
            <w:r w:rsidRPr="00670221">
              <w:rPr>
                <w:sz w:val="20"/>
                <w:szCs w:val="20"/>
                <w:lang w:val="en-US"/>
              </w:rPr>
              <w:t>DAC</w:t>
            </w:r>
          </w:p>
        </w:tc>
        <w:tc>
          <w:tcPr>
            <w:tcW w:w="748" w:type="pct"/>
          </w:tcPr>
          <w:p w14:paraId="1ECADBC3" w14:textId="57C219D3" w:rsidR="00562DC6" w:rsidRPr="00670221" w:rsidRDefault="00562DC6" w:rsidP="000D508C">
            <w:pPr>
              <w:jc w:val="center"/>
              <w:rPr>
                <w:sz w:val="20"/>
                <w:szCs w:val="20"/>
                <w:lang w:val="en-US"/>
              </w:rPr>
            </w:pPr>
            <w:r w:rsidRPr="00670221">
              <w:rPr>
                <w:sz w:val="20"/>
                <w:szCs w:val="20"/>
                <w:lang w:val="en-US"/>
              </w:rPr>
              <w:t>Nitrogen</w:t>
            </w:r>
          </w:p>
        </w:tc>
      </w:tr>
      <w:tr w:rsidR="00562DC6" w:rsidRPr="00670221" w14:paraId="5EEE1AC5" w14:textId="23FE67C0" w:rsidTr="000568C0">
        <w:trPr>
          <w:trHeight w:val="227"/>
        </w:trPr>
        <w:tc>
          <w:tcPr>
            <w:tcW w:w="1264" w:type="pct"/>
          </w:tcPr>
          <w:p w14:paraId="5295163E" w14:textId="65EEC20B" w:rsidR="00562DC6" w:rsidRPr="00670221" w:rsidRDefault="00562DC6" w:rsidP="001913C4">
            <w:pPr>
              <w:rPr>
                <w:sz w:val="20"/>
                <w:szCs w:val="20"/>
                <w:lang w:val="en-US"/>
              </w:rPr>
            </w:pPr>
            <w:r w:rsidRPr="00670221">
              <w:rPr>
                <w:sz w:val="20"/>
                <w:szCs w:val="20"/>
                <w:lang w:val="en-US"/>
              </w:rPr>
              <w:t>Sustainability</w:t>
            </w:r>
          </w:p>
        </w:tc>
        <w:tc>
          <w:tcPr>
            <w:tcW w:w="747" w:type="pct"/>
            <w:shd w:val="clear" w:color="auto" w:fill="FFFF00"/>
          </w:tcPr>
          <w:p w14:paraId="3C83268F" w14:textId="08A9C774" w:rsidR="00562DC6" w:rsidRPr="00670221" w:rsidRDefault="000D508C" w:rsidP="000D508C">
            <w:pPr>
              <w:jc w:val="center"/>
              <w:rPr>
                <w:color w:val="000000" w:themeColor="text1"/>
                <w:sz w:val="20"/>
                <w:szCs w:val="20"/>
                <w:lang w:val="en-US"/>
              </w:rPr>
            </w:pPr>
            <w:r w:rsidRPr="00670221">
              <w:rPr>
                <w:color w:val="000000" w:themeColor="text1"/>
                <w:sz w:val="20"/>
                <w:szCs w:val="20"/>
                <w:lang w:val="en-US"/>
              </w:rPr>
              <w:t>1</w:t>
            </w:r>
          </w:p>
        </w:tc>
        <w:tc>
          <w:tcPr>
            <w:tcW w:w="747" w:type="pct"/>
            <w:shd w:val="clear" w:color="auto" w:fill="92D050"/>
          </w:tcPr>
          <w:p w14:paraId="0E6B1438" w14:textId="77777777" w:rsidR="00562DC6" w:rsidRPr="00670221" w:rsidRDefault="00562DC6" w:rsidP="000D508C">
            <w:pPr>
              <w:jc w:val="center"/>
              <w:rPr>
                <w:color w:val="000000" w:themeColor="text1"/>
                <w:sz w:val="20"/>
                <w:szCs w:val="20"/>
                <w:lang w:val="en-US"/>
              </w:rPr>
            </w:pPr>
          </w:p>
        </w:tc>
        <w:tc>
          <w:tcPr>
            <w:tcW w:w="747" w:type="pct"/>
            <w:shd w:val="clear" w:color="auto" w:fill="FFC000"/>
          </w:tcPr>
          <w:p w14:paraId="568AFDAC" w14:textId="31F9CC41" w:rsidR="00562DC6" w:rsidRPr="00670221" w:rsidRDefault="000D508C" w:rsidP="000D508C">
            <w:pPr>
              <w:jc w:val="center"/>
              <w:rPr>
                <w:color w:val="000000" w:themeColor="text1"/>
                <w:sz w:val="20"/>
                <w:szCs w:val="20"/>
                <w:lang w:val="en-US"/>
              </w:rPr>
            </w:pPr>
            <w:r w:rsidRPr="00670221">
              <w:rPr>
                <w:color w:val="000000" w:themeColor="text1"/>
                <w:sz w:val="20"/>
                <w:szCs w:val="20"/>
                <w:lang w:val="en-US"/>
              </w:rPr>
              <w:t>2</w:t>
            </w:r>
          </w:p>
        </w:tc>
        <w:tc>
          <w:tcPr>
            <w:tcW w:w="747" w:type="pct"/>
            <w:shd w:val="clear" w:color="auto" w:fill="FFFF00"/>
          </w:tcPr>
          <w:p w14:paraId="3CF35AC5" w14:textId="571DA943" w:rsidR="00562DC6" w:rsidRPr="00670221" w:rsidRDefault="000D508C" w:rsidP="000D508C">
            <w:pPr>
              <w:jc w:val="center"/>
              <w:rPr>
                <w:color w:val="000000" w:themeColor="text1"/>
                <w:sz w:val="20"/>
                <w:szCs w:val="20"/>
                <w:lang w:val="en-US"/>
              </w:rPr>
            </w:pPr>
            <w:r w:rsidRPr="00670221">
              <w:rPr>
                <w:color w:val="000000" w:themeColor="text1"/>
                <w:sz w:val="20"/>
                <w:szCs w:val="20"/>
                <w:lang w:val="en-US"/>
              </w:rPr>
              <w:t>1</w:t>
            </w:r>
          </w:p>
        </w:tc>
        <w:tc>
          <w:tcPr>
            <w:tcW w:w="748" w:type="pct"/>
            <w:shd w:val="clear" w:color="auto" w:fill="92D050"/>
          </w:tcPr>
          <w:p w14:paraId="335E1972" w14:textId="77777777" w:rsidR="00562DC6" w:rsidRPr="00670221" w:rsidRDefault="00562DC6" w:rsidP="000D508C">
            <w:pPr>
              <w:jc w:val="center"/>
              <w:rPr>
                <w:color w:val="000000" w:themeColor="text1"/>
                <w:sz w:val="20"/>
                <w:szCs w:val="20"/>
                <w:lang w:val="en-US"/>
              </w:rPr>
            </w:pPr>
          </w:p>
        </w:tc>
      </w:tr>
      <w:tr w:rsidR="00562DC6" w:rsidRPr="00670221" w14:paraId="2B2BFD77" w14:textId="12C3DEAE" w:rsidTr="000568C0">
        <w:trPr>
          <w:trHeight w:val="227"/>
        </w:trPr>
        <w:tc>
          <w:tcPr>
            <w:tcW w:w="1264" w:type="pct"/>
          </w:tcPr>
          <w:p w14:paraId="6F85E449" w14:textId="33790EF8" w:rsidR="00562DC6" w:rsidRPr="00670221" w:rsidRDefault="00562DC6" w:rsidP="001913C4">
            <w:pPr>
              <w:rPr>
                <w:sz w:val="20"/>
                <w:szCs w:val="20"/>
                <w:lang w:val="en-US"/>
              </w:rPr>
            </w:pPr>
            <w:r w:rsidRPr="00670221">
              <w:rPr>
                <w:sz w:val="20"/>
                <w:szCs w:val="20"/>
                <w:lang w:val="en-US"/>
              </w:rPr>
              <w:t>Feedstock availability</w:t>
            </w:r>
          </w:p>
        </w:tc>
        <w:tc>
          <w:tcPr>
            <w:tcW w:w="747" w:type="pct"/>
            <w:shd w:val="clear" w:color="auto" w:fill="FFC000"/>
          </w:tcPr>
          <w:p w14:paraId="7E93B3DC" w14:textId="45CE123E" w:rsidR="00562DC6" w:rsidRPr="00670221" w:rsidRDefault="007147EE" w:rsidP="000D508C">
            <w:pPr>
              <w:jc w:val="center"/>
              <w:rPr>
                <w:color w:val="000000" w:themeColor="text1"/>
                <w:sz w:val="20"/>
                <w:szCs w:val="20"/>
                <w:lang w:val="en-US"/>
              </w:rPr>
            </w:pPr>
            <w:r w:rsidRPr="00670221">
              <w:rPr>
                <w:color w:val="000000" w:themeColor="text1"/>
                <w:sz w:val="20"/>
                <w:szCs w:val="20"/>
                <w:lang w:val="en-US"/>
              </w:rPr>
              <w:t>2</w:t>
            </w:r>
          </w:p>
        </w:tc>
        <w:tc>
          <w:tcPr>
            <w:tcW w:w="747" w:type="pct"/>
            <w:shd w:val="clear" w:color="auto" w:fill="FFC000"/>
          </w:tcPr>
          <w:p w14:paraId="0367FBFB" w14:textId="0A45E0A0" w:rsidR="00562DC6" w:rsidRPr="00670221" w:rsidRDefault="000D508C" w:rsidP="000D508C">
            <w:pPr>
              <w:jc w:val="center"/>
              <w:rPr>
                <w:color w:val="000000" w:themeColor="text1"/>
                <w:sz w:val="20"/>
                <w:szCs w:val="20"/>
                <w:lang w:val="en-US"/>
              </w:rPr>
            </w:pPr>
            <w:r w:rsidRPr="00670221">
              <w:rPr>
                <w:color w:val="000000" w:themeColor="text1"/>
                <w:sz w:val="20"/>
                <w:szCs w:val="20"/>
                <w:lang w:val="en-US"/>
              </w:rPr>
              <w:t>2</w:t>
            </w:r>
          </w:p>
        </w:tc>
        <w:tc>
          <w:tcPr>
            <w:tcW w:w="747" w:type="pct"/>
            <w:shd w:val="clear" w:color="auto" w:fill="92D050"/>
          </w:tcPr>
          <w:p w14:paraId="49FCD9C3" w14:textId="77777777" w:rsidR="00562DC6" w:rsidRPr="00670221" w:rsidRDefault="00562DC6" w:rsidP="000D508C">
            <w:pPr>
              <w:jc w:val="center"/>
              <w:rPr>
                <w:color w:val="000000" w:themeColor="text1"/>
                <w:sz w:val="20"/>
                <w:szCs w:val="20"/>
                <w:lang w:val="en-US"/>
              </w:rPr>
            </w:pPr>
          </w:p>
        </w:tc>
        <w:tc>
          <w:tcPr>
            <w:tcW w:w="747" w:type="pct"/>
            <w:shd w:val="clear" w:color="auto" w:fill="92D050"/>
          </w:tcPr>
          <w:p w14:paraId="473A85CE" w14:textId="35744EB9" w:rsidR="00562DC6" w:rsidRPr="00670221" w:rsidRDefault="00562DC6" w:rsidP="000D508C">
            <w:pPr>
              <w:jc w:val="center"/>
              <w:rPr>
                <w:color w:val="000000" w:themeColor="text1"/>
                <w:sz w:val="20"/>
                <w:szCs w:val="20"/>
                <w:lang w:val="en-US"/>
              </w:rPr>
            </w:pPr>
          </w:p>
        </w:tc>
        <w:tc>
          <w:tcPr>
            <w:tcW w:w="748" w:type="pct"/>
            <w:shd w:val="clear" w:color="auto" w:fill="92D050"/>
          </w:tcPr>
          <w:p w14:paraId="2AE1F701" w14:textId="77777777" w:rsidR="00562DC6" w:rsidRPr="00670221" w:rsidRDefault="00562DC6" w:rsidP="000D508C">
            <w:pPr>
              <w:jc w:val="center"/>
              <w:rPr>
                <w:color w:val="000000" w:themeColor="text1"/>
                <w:sz w:val="20"/>
                <w:szCs w:val="20"/>
                <w:lang w:val="en-US"/>
              </w:rPr>
            </w:pPr>
          </w:p>
        </w:tc>
      </w:tr>
      <w:tr w:rsidR="00562DC6" w:rsidRPr="00670221" w14:paraId="13B55C6B" w14:textId="1E492F0F" w:rsidTr="000568C0">
        <w:trPr>
          <w:trHeight w:val="227"/>
        </w:trPr>
        <w:tc>
          <w:tcPr>
            <w:tcW w:w="1264" w:type="pct"/>
          </w:tcPr>
          <w:p w14:paraId="51A77899" w14:textId="3EACE952" w:rsidR="00562DC6" w:rsidRPr="00670221" w:rsidRDefault="00562DC6" w:rsidP="001913C4">
            <w:pPr>
              <w:rPr>
                <w:sz w:val="20"/>
                <w:szCs w:val="20"/>
                <w:lang w:val="en-US"/>
              </w:rPr>
            </w:pPr>
            <w:r w:rsidRPr="00670221">
              <w:rPr>
                <w:sz w:val="20"/>
                <w:szCs w:val="20"/>
                <w:lang w:val="en-US"/>
              </w:rPr>
              <w:t>Policy alignment</w:t>
            </w:r>
          </w:p>
        </w:tc>
        <w:tc>
          <w:tcPr>
            <w:tcW w:w="747" w:type="pct"/>
            <w:shd w:val="clear" w:color="auto" w:fill="92D050"/>
          </w:tcPr>
          <w:p w14:paraId="20CA7288" w14:textId="57751002" w:rsidR="00562DC6" w:rsidRPr="00670221" w:rsidRDefault="00562DC6" w:rsidP="000D508C">
            <w:pPr>
              <w:jc w:val="center"/>
              <w:rPr>
                <w:color w:val="000000" w:themeColor="text1"/>
                <w:sz w:val="20"/>
                <w:szCs w:val="20"/>
                <w:lang w:val="en-US"/>
              </w:rPr>
            </w:pPr>
            <w:r w:rsidRPr="00670221">
              <w:rPr>
                <w:color w:val="000000" w:themeColor="text1"/>
                <w:sz w:val="20"/>
                <w:szCs w:val="20"/>
                <w:lang w:val="en-US"/>
              </w:rPr>
              <w:t>*</w:t>
            </w:r>
          </w:p>
        </w:tc>
        <w:tc>
          <w:tcPr>
            <w:tcW w:w="747" w:type="pct"/>
            <w:shd w:val="clear" w:color="auto" w:fill="92D050"/>
          </w:tcPr>
          <w:p w14:paraId="119882EE" w14:textId="77777777" w:rsidR="00562DC6" w:rsidRPr="00670221" w:rsidRDefault="00562DC6" w:rsidP="000D508C">
            <w:pPr>
              <w:jc w:val="center"/>
              <w:rPr>
                <w:color w:val="000000" w:themeColor="text1"/>
                <w:sz w:val="20"/>
                <w:szCs w:val="20"/>
                <w:lang w:val="en-US"/>
              </w:rPr>
            </w:pPr>
          </w:p>
        </w:tc>
        <w:tc>
          <w:tcPr>
            <w:tcW w:w="747" w:type="pct"/>
            <w:shd w:val="clear" w:color="auto" w:fill="FFC000"/>
          </w:tcPr>
          <w:p w14:paraId="48E6C638" w14:textId="35C7183E" w:rsidR="00562DC6" w:rsidRPr="00670221" w:rsidRDefault="000D508C" w:rsidP="000D508C">
            <w:pPr>
              <w:jc w:val="center"/>
              <w:rPr>
                <w:color w:val="000000" w:themeColor="text1"/>
                <w:sz w:val="20"/>
                <w:szCs w:val="20"/>
                <w:lang w:val="en-US"/>
              </w:rPr>
            </w:pPr>
            <w:r w:rsidRPr="00670221">
              <w:rPr>
                <w:color w:val="000000" w:themeColor="text1"/>
                <w:sz w:val="20"/>
                <w:szCs w:val="20"/>
                <w:lang w:val="en-US"/>
              </w:rPr>
              <w:t>2</w:t>
            </w:r>
          </w:p>
        </w:tc>
        <w:tc>
          <w:tcPr>
            <w:tcW w:w="747" w:type="pct"/>
            <w:shd w:val="clear" w:color="auto" w:fill="92D050"/>
          </w:tcPr>
          <w:p w14:paraId="22E3AECB" w14:textId="62433F78" w:rsidR="00562DC6" w:rsidRPr="00670221" w:rsidRDefault="00562DC6" w:rsidP="000D508C">
            <w:pPr>
              <w:jc w:val="center"/>
              <w:rPr>
                <w:color w:val="000000" w:themeColor="text1"/>
                <w:sz w:val="20"/>
                <w:szCs w:val="20"/>
                <w:lang w:val="en-US"/>
              </w:rPr>
            </w:pPr>
          </w:p>
        </w:tc>
        <w:tc>
          <w:tcPr>
            <w:tcW w:w="748" w:type="pct"/>
            <w:shd w:val="clear" w:color="auto" w:fill="92D050"/>
          </w:tcPr>
          <w:p w14:paraId="60AA405C" w14:textId="77777777" w:rsidR="00562DC6" w:rsidRPr="00670221" w:rsidRDefault="00562DC6" w:rsidP="000D508C">
            <w:pPr>
              <w:jc w:val="center"/>
              <w:rPr>
                <w:color w:val="000000" w:themeColor="text1"/>
                <w:sz w:val="20"/>
                <w:szCs w:val="20"/>
                <w:lang w:val="en-US"/>
              </w:rPr>
            </w:pPr>
          </w:p>
        </w:tc>
      </w:tr>
      <w:tr w:rsidR="00750092" w:rsidRPr="00670221" w14:paraId="2B0830B6" w14:textId="77777777" w:rsidTr="000568C0">
        <w:trPr>
          <w:trHeight w:val="227"/>
        </w:trPr>
        <w:tc>
          <w:tcPr>
            <w:tcW w:w="1264" w:type="pct"/>
          </w:tcPr>
          <w:p w14:paraId="70DD2B5F" w14:textId="76AD36FF" w:rsidR="00750092" w:rsidRPr="00670221" w:rsidRDefault="00750092" w:rsidP="001913C4">
            <w:pPr>
              <w:rPr>
                <w:sz w:val="20"/>
                <w:szCs w:val="20"/>
                <w:lang w:val="en-US"/>
              </w:rPr>
            </w:pPr>
            <w:r w:rsidRPr="00670221">
              <w:rPr>
                <w:sz w:val="20"/>
                <w:szCs w:val="20"/>
                <w:lang w:val="en-US"/>
              </w:rPr>
              <w:t>Fuel infrastructure alignment</w:t>
            </w:r>
          </w:p>
        </w:tc>
        <w:tc>
          <w:tcPr>
            <w:tcW w:w="747" w:type="pct"/>
            <w:shd w:val="clear" w:color="auto" w:fill="92D050"/>
          </w:tcPr>
          <w:p w14:paraId="6FD5C708" w14:textId="77777777" w:rsidR="00750092" w:rsidRPr="00670221" w:rsidRDefault="00750092" w:rsidP="000D508C">
            <w:pPr>
              <w:jc w:val="center"/>
              <w:rPr>
                <w:color w:val="000000" w:themeColor="text1"/>
                <w:sz w:val="20"/>
                <w:szCs w:val="20"/>
                <w:lang w:val="en-US"/>
              </w:rPr>
            </w:pPr>
          </w:p>
        </w:tc>
        <w:tc>
          <w:tcPr>
            <w:tcW w:w="747" w:type="pct"/>
            <w:shd w:val="clear" w:color="auto" w:fill="92D050"/>
          </w:tcPr>
          <w:p w14:paraId="774170EB" w14:textId="77777777" w:rsidR="00750092" w:rsidRPr="00670221" w:rsidRDefault="00750092" w:rsidP="000D508C">
            <w:pPr>
              <w:jc w:val="center"/>
              <w:rPr>
                <w:color w:val="000000" w:themeColor="text1"/>
                <w:sz w:val="20"/>
                <w:szCs w:val="20"/>
                <w:lang w:val="en-US"/>
              </w:rPr>
            </w:pPr>
          </w:p>
        </w:tc>
        <w:tc>
          <w:tcPr>
            <w:tcW w:w="747" w:type="pct"/>
            <w:shd w:val="clear" w:color="auto" w:fill="92D050"/>
          </w:tcPr>
          <w:p w14:paraId="2495E0AF" w14:textId="77777777" w:rsidR="00750092" w:rsidRPr="00670221" w:rsidRDefault="00750092" w:rsidP="000D508C">
            <w:pPr>
              <w:jc w:val="center"/>
              <w:rPr>
                <w:color w:val="000000" w:themeColor="text1"/>
                <w:sz w:val="20"/>
                <w:szCs w:val="20"/>
                <w:lang w:val="en-US"/>
              </w:rPr>
            </w:pPr>
          </w:p>
        </w:tc>
        <w:tc>
          <w:tcPr>
            <w:tcW w:w="747" w:type="pct"/>
            <w:shd w:val="clear" w:color="auto" w:fill="92D050"/>
          </w:tcPr>
          <w:p w14:paraId="24D9500D" w14:textId="77777777" w:rsidR="00750092" w:rsidRPr="00670221" w:rsidRDefault="00750092" w:rsidP="000D508C">
            <w:pPr>
              <w:jc w:val="center"/>
              <w:rPr>
                <w:color w:val="000000" w:themeColor="text1"/>
                <w:sz w:val="20"/>
                <w:szCs w:val="20"/>
                <w:lang w:val="en-US"/>
              </w:rPr>
            </w:pPr>
          </w:p>
        </w:tc>
        <w:tc>
          <w:tcPr>
            <w:tcW w:w="748" w:type="pct"/>
            <w:shd w:val="clear" w:color="auto" w:fill="FF0000"/>
          </w:tcPr>
          <w:p w14:paraId="3FE0B839" w14:textId="27F34C67" w:rsidR="00750092" w:rsidRPr="00670221" w:rsidRDefault="000D508C" w:rsidP="000568C0">
            <w:pPr>
              <w:jc w:val="center"/>
              <w:rPr>
                <w:color w:val="000000" w:themeColor="text1"/>
                <w:sz w:val="20"/>
                <w:szCs w:val="20"/>
                <w:lang w:val="en-US"/>
              </w:rPr>
            </w:pPr>
            <w:r w:rsidRPr="00670221">
              <w:rPr>
                <w:color w:val="000000" w:themeColor="text1"/>
                <w:sz w:val="20"/>
                <w:szCs w:val="20"/>
                <w:lang w:val="en-US"/>
              </w:rPr>
              <w:t>3</w:t>
            </w:r>
          </w:p>
        </w:tc>
      </w:tr>
      <w:tr w:rsidR="000D508C" w:rsidRPr="00670221" w14:paraId="28CB5C3E" w14:textId="77777777" w:rsidTr="000568C0">
        <w:trPr>
          <w:trHeight w:val="227"/>
        </w:trPr>
        <w:tc>
          <w:tcPr>
            <w:tcW w:w="1264" w:type="pct"/>
          </w:tcPr>
          <w:p w14:paraId="3D0B67C4" w14:textId="7A256BE9" w:rsidR="000D508C" w:rsidRPr="00670221" w:rsidRDefault="000D508C" w:rsidP="001913C4">
            <w:pPr>
              <w:rPr>
                <w:b/>
                <w:bCs/>
                <w:sz w:val="20"/>
                <w:szCs w:val="20"/>
                <w:lang w:val="en-US"/>
              </w:rPr>
            </w:pPr>
            <w:r w:rsidRPr="00670221">
              <w:rPr>
                <w:b/>
                <w:bCs/>
                <w:sz w:val="20"/>
                <w:szCs w:val="20"/>
                <w:lang w:val="en-US"/>
              </w:rPr>
              <w:t>Total:</w:t>
            </w:r>
          </w:p>
        </w:tc>
        <w:tc>
          <w:tcPr>
            <w:tcW w:w="747" w:type="pct"/>
            <w:shd w:val="clear" w:color="auto" w:fill="auto"/>
          </w:tcPr>
          <w:p w14:paraId="7998B187" w14:textId="19551153" w:rsidR="000D508C" w:rsidRPr="00670221" w:rsidRDefault="007147EE" w:rsidP="000D508C">
            <w:pPr>
              <w:jc w:val="center"/>
              <w:rPr>
                <w:color w:val="000000" w:themeColor="text1"/>
                <w:sz w:val="20"/>
                <w:szCs w:val="20"/>
                <w:lang w:val="en-US"/>
              </w:rPr>
            </w:pPr>
            <w:r w:rsidRPr="00670221">
              <w:rPr>
                <w:color w:val="000000" w:themeColor="text1"/>
                <w:sz w:val="20"/>
                <w:szCs w:val="20"/>
                <w:lang w:val="en-US"/>
              </w:rPr>
              <w:t>3</w:t>
            </w:r>
          </w:p>
        </w:tc>
        <w:tc>
          <w:tcPr>
            <w:tcW w:w="747" w:type="pct"/>
            <w:shd w:val="clear" w:color="auto" w:fill="auto"/>
          </w:tcPr>
          <w:p w14:paraId="71DF7463" w14:textId="033F341E" w:rsidR="000D508C" w:rsidRPr="00670221" w:rsidRDefault="000D508C" w:rsidP="000D508C">
            <w:pPr>
              <w:jc w:val="center"/>
              <w:rPr>
                <w:color w:val="000000" w:themeColor="text1"/>
                <w:sz w:val="20"/>
                <w:szCs w:val="20"/>
                <w:lang w:val="en-US"/>
              </w:rPr>
            </w:pPr>
            <w:r w:rsidRPr="00670221">
              <w:rPr>
                <w:color w:val="000000" w:themeColor="text1"/>
                <w:sz w:val="20"/>
                <w:szCs w:val="20"/>
                <w:lang w:val="en-US"/>
              </w:rPr>
              <w:t>2</w:t>
            </w:r>
          </w:p>
        </w:tc>
        <w:tc>
          <w:tcPr>
            <w:tcW w:w="747" w:type="pct"/>
            <w:shd w:val="clear" w:color="auto" w:fill="auto"/>
          </w:tcPr>
          <w:p w14:paraId="2480ECD5" w14:textId="3BC6D5D3" w:rsidR="000D508C" w:rsidRPr="00670221" w:rsidRDefault="000D508C" w:rsidP="000D508C">
            <w:pPr>
              <w:jc w:val="center"/>
              <w:rPr>
                <w:color w:val="000000" w:themeColor="text1"/>
                <w:sz w:val="20"/>
                <w:szCs w:val="20"/>
                <w:lang w:val="en-US"/>
              </w:rPr>
            </w:pPr>
            <w:r w:rsidRPr="00670221">
              <w:rPr>
                <w:color w:val="000000" w:themeColor="text1"/>
                <w:sz w:val="20"/>
                <w:szCs w:val="20"/>
                <w:lang w:val="en-US"/>
              </w:rPr>
              <w:t>4</w:t>
            </w:r>
          </w:p>
        </w:tc>
        <w:tc>
          <w:tcPr>
            <w:tcW w:w="747" w:type="pct"/>
            <w:shd w:val="clear" w:color="auto" w:fill="auto"/>
          </w:tcPr>
          <w:p w14:paraId="010A6C64" w14:textId="2ABF1481" w:rsidR="000D508C" w:rsidRPr="00670221" w:rsidRDefault="000D508C" w:rsidP="000D508C">
            <w:pPr>
              <w:jc w:val="center"/>
              <w:rPr>
                <w:color w:val="000000" w:themeColor="text1"/>
                <w:sz w:val="20"/>
                <w:szCs w:val="20"/>
                <w:lang w:val="en-US"/>
              </w:rPr>
            </w:pPr>
            <w:r w:rsidRPr="00670221">
              <w:rPr>
                <w:color w:val="000000" w:themeColor="text1"/>
                <w:sz w:val="20"/>
                <w:szCs w:val="20"/>
                <w:lang w:val="en-US"/>
              </w:rPr>
              <w:t>1</w:t>
            </w:r>
          </w:p>
        </w:tc>
        <w:tc>
          <w:tcPr>
            <w:tcW w:w="748" w:type="pct"/>
            <w:shd w:val="clear" w:color="auto" w:fill="auto"/>
          </w:tcPr>
          <w:p w14:paraId="07ECF6F9" w14:textId="7F8255C7" w:rsidR="000D508C" w:rsidRPr="00670221" w:rsidRDefault="000D508C" w:rsidP="008B10EE">
            <w:pPr>
              <w:keepNext/>
              <w:jc w:val="center"/>
              <w:rPr>
                <w:color w:val="000000" w:themeColor="text1"/>
                <w:sz w:val="20"/>
                <w:szCs w:val="20"/>
                <w:lang w:val="en-US"/>
              </w:rPr>
            </w:pPr>
            <w:r w:rsidRPr="00670221">
              <w:rPr>
                <w:color w:val="000000" w:themeColor="text1"/>
                <w:sz w:val="20"/>
                <w:szCs w:val="20"/>
                <w:lang w:val="en-US"/>
              </w:rPr>
              <w:t>3</w:t>
            </w:r>
          </w:p>
        </w:tc>
      </w:tr>
    </w:tbl>
    <w:p w14:paraId="29ABC427" w14:textId="0EF10B02" w:rsidR="008B10EE" w:rsidRPr="00670221" w:rsidRDefault="008B10EE">
      <w:pPr>
        <w:pStyle w:val="Caption"/>
        <w:rPr>
          <w:lang w:val="en-US"/>
        </w:rPr>
      </w:pPr>
      <w:bookmarkStart w:id="73" w:name="_Toc184403588"/>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3</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6</w:t>
      </w:r>
      <w:r w:rsidR="00EF60A5" w:rsidRPr="00670221">
        <w:rPr>
          <w:lang w:val="en-US"/>
        </w:rPr>
        <w:fldChar w:fldCharType="end"/>
      </w:r>
      <w:r w:rsidRPr="00670221">
        <w:rPr>
          <w:lang w:val="en-US"/>
        </w:rPr>
        <w:t xml:space="preserve">: </w:t>
      </w:r>
      <w:r w:rsidR="00EA124D" w:rsidRPr="00670221">
        <w:rPr>
          <w:lang w:val="en-US"/>
        </w:rPr>
        <w:t>E</w:t>
      </w:r>
      <w:r w:rsidRPr="00670221">
        <w:rPr>
          <w:lang w:val="en-US"/>
        </w:rPr>
        <w:t>nergy carrier scoring table</w:t>
      </w:r>
      <w:bookmarkEnd w:id="73"/>
    </w:p>
    <w:p w14:paraId="130A0B05" w14:textId="6F8662C2" w:rsidR="004F6A5D" w:rsidRPr="00670221" w:rsidRDefault="004323F8" w:rsidP="00F4216C">
      <w:pPr>
        <w:rPr>
          <w:lang w:val="en-US"/>
        </w:rPr>
      </w:pPr>
      <w:r w:rsidRPr="00670221">
        <w:rPr>
          <w:lang w:val="en-US"/>
        </w:rPr>
        <w:t>The</w:t>
      </w:r>
      <w:r w:rsidR="001C4B0B" w:rsidRPr="00670221">
        <w:rPr>
          <w:lang w:val="en-US"/>
        </w:rPr>
        <w:t xml:space="preserve"> EU has prioritized the use of residual or waste biomass for biofuel production to minimize environmental impact and avoid competition with food production </w:t>
      </w:r>
      <w:r w:rsidR="00F85C8F" w:rsidRPr="00670221">
        <w:rPr>
          <w:lang w:val="en-US"/>
        </w:rPr>
        <w:t xml:space="preserve">(European Commission &amp; Directorate-General for Energy, 2023). However, the availability of residual biomass is limited, making it challenging to meet the large-scale demands of sectors like aviation. This constraint is reflected in the moderate scores for sustainability and feedstock availability. </w:t>
      </w:r>
      <w:r w:rsidR="004F6A5D" w:rsidRPr="00670221">
        <w:rPr>
          <w:lang w:val="en-US"/>
        </w:rPr>
        <w:t xml:space="preserve">Since bio-based SAF is cheaper than e-fuels due to not needing additional energy for production, it is expected that the available biomass will be depleted soon. To ensure that </w:t>
      </w:r>
      <w:proofErr w:type="spellStart"/>
      <w:r w:rsidR="004F6A5D" w:rsidRPr="00670221">
        <w:rPr>
          <w:lang w:val="en-US"/>
        </w:rPr>
        <w:t>eSAFs</w:t>
      </w:r>
      <w:proofErr w:type="spellEnd"/>
      <w:r w:rsidR="004F6A5D" w:rsidRPr="00670221">
        <w:rPr>
          <w:lang w:val="en-US"/>
        </w:rPr>
        <w:t xml:space="preserve"> are also developed, bio-based SAF and </w:t>
      </w:r>
      <w:proofErr w:type="spellStart"/>
      <w:r w:rsidR="004F6A5D" w:rsidRPr="00670221">
        <w:rPr>
          <w:lang w:val="en-US"/>
        </w:rPr>
        <w:t>eSAF</w:t>
      </w:r>
      <w:proofErr w:type="spellEnd"/>
      <w:r w:rsidR="004F6A5D" w:rsidRPr="00670221">
        <w:rPr>
          <w:lang w:val="en-US"/>
        </w:rPr>
        <w:t xml:space="preserve"> have been given separate mandates. While bio-based fuels fit within EU policies, they are regulated under different frameworks compared to DAC-derived </w:t>
      </w:r>
      <w:proofErr w:type="spellStart"/>
      <w:r w:rsidR="004F6A5D" w:rsidRPr="00670221">
        <w:rPr>
          <w:lang w:val="en-US"/>
        </w:rPr>
        <w:t>eSAFs</w:t>
      </w:r>
      <w:proofErr w:type="spellEnd"/>
      <w:r w:rsidR="004F6A5D" w:rsidRPr="00670221">
        <w:rPr>
          <w:lang w:val="en-US"/>
        </w:rPr>
        <w:t>, as indicated by the distinction marked with * in the table.</w:t>
      </w:r>
    </w:p>
    <w:p w14:paraId="62B9571F" w14:textId="69717307" w:rsidR="003D111A" w:rsidRDefault="00451947" w:rsidP="00F4216C">
      <w:pPr>
        <w:rPr>
          <w:lang w:val="en-US"/>
        </w:rPr>
      </w:pPr>
      <w:r w:rsidRPr="00670221">
        <w:rPr>
          <w:lang w:val="en-US"/>
        </w:rPr>
        <w:t>Biogenic CO₂, produced through processes such as biomass combustion, digestion, and decomposition, can be captured from industries like biogas upgrading, fermentation, wastewater treatment, and the pulp and paper sector (European Biogas Association, n.d.). While it offers a sustainable feedstock for e-fuel production, limited availability and competition with other decarbonization sectors restrict its long-term potential for aviation</w:t>
      </w:r>
      <w:r w:rsidR="00444621" w:rsidRPr="00670221">
        <w:rPr>
          <w:lang w:val="en-US"/>
        </w:rPr>
        <w:t>, resulting in this being a concern as seen in the table above</w:t>
      </w:r>
      <w:r w:rsidRPr="00670221">
        <w:rPr>
          <w:lang w:val="en-US"/>
        </w:rPr>
        <w:t xml:space="preserve"> </w:t>
      </w:r>
      <w:r w:rsidR="0018397F" w:rsidRPr="00670221">
        <w:rPr>
          <w:lang w:val="en-US"/>
        </w:rPr>
        <w:t>(McKenna</w:t>
      </w:r>
      <w:r w:rsidRPr="00670221">
        <w:rPr>
          <w:lang w:val="en-US"/>
        </w:rPr>
        <w:t xml:space="preserve">, 2024). Additionally, competition with carbon capture and storage presents a significant barrier, as CCS is seen as simpler and more financially viable due to more favorable regulatory incentives. High capture costs, underdeveloped CO₂ markets, and insufficient CO₂ infrastructure, such as pipelines and storage, further complicate the widespread use </w:t>
      </w:r>
      <w:r w:rsidR="003A0D6F" w:rsidRPr="00670221">
        <w:rPr>
          <w:lang w:val="en-US"/>
        </w:rPr>
        <w:t xml:space="preserve">and availability </w:t>
      </w:r>
      <w:r w:rsidRPr="00670221">
        <w:rPr>
          <w:lang w:val="en-US"/>
        </w:rPr>
        <w:t>of biogenic CO₂. Without substantial market and infrastructure advancements, scaling its use for e-fuels remains challenging.</w:t>
      </w:r>
      <w:r w:rsidR="008A602A">
        <w:rPr>
          <w:lang w:val="en-US"/>
        </w:rPr>
        <w:t xml:space="preserve"> </w:t>
      </w:r>
      <w:r w:rsidR="003D111A" w:rsidRPr="003D111A">
        <w:rPr>
          <w:lang w:val="en-US"/>
        </w:rPr>
        <w:t xml:space="preserve">These findings coincide with the remarks made by carbon conversion experts, who identified challenges for scaling </w:t>
      </w:r>
      <w:r w:rsidR="000634AC">
        <w:rPr>
          <w:lang w:val="en-US"/>
        </w:rPr>
        <w:t>p</w:t>
      </w:r>
      <w:r w:rsidR="003D111A" w:rsidRPr="003D111A">
        <w:rPr>
          <w:lang w:val="en-US"/>
        </w:rPr>
        <w:t>ower-to-</w:t>
      </w:r>
      <w:r w:rsidR="000634AC">
        <w:rPr>
          <w:lang w:val="en-US"/>
        </w:rPr>
        <w:t>l</w:t>
      </w:r>
      <w:r w:rsidR="003D111A" w:rsidRPr="003D111A">
        <w:rPr>
          <w:lang w:val="en-US"/>
        </w:rPr>
        <w:t>iquid, including limited availability and competition for biogenic CO₂, high capture costs, and the declining long-term feasibility of non-biogenic CO₂ sources</w:t>
      </w:r>
      <w:r w:rsidR="003D111A">
        <w:rPr>
          <w:lang w:val="en-US"/>
        </w:rPr>
        <w:t xml:space="preserve"> (Appendix F)</w:t>
      </w:r>
      <w:r w:rsidR="003D111A" w:rsidRPr="003D111A">
        <w:rPr>
          <w:lang w:val="en-US"/>
        </w:rPr>
        <w:t>.</w:t>
      </w:r>
    </w:p>
    <w:p w14:paraId="1DA11437" w14:textId="3C1A9455" w:rsidR="001E407B" w:rsidRPr="00670221" w:rsidRDefault="001E407B" w:rsidP="00F4216C">
      <w:pPr>
        <w:rPr>
          <w:lang w:val="en-US"/>
        </w:rPr>
      </w:pPr>
      <w:r w:rsidRPr="00670221">
        <w:rPr>
          <w:lang w:val="en-US"/>
        </w:rPr>
        <w:t xml:space="preserve">Fossil CO₂ is permitted for </w:t>
      </w:r>
      <w:proofErr w:type="spellStart"/>
      <w:r w:rsidRPr="00670221">
        <w:rPr>
          <w:lang w:val="en-US"/>
        </w:rPr>
        <w:t>eSAF</w:t>
      </w:r>
      <w:proofErr w:type="spellEnd"/>
      <w:r w:rsidRPr="00670221">
        <w:rPr>
          <w:lang w:val="en-US"/>
        </w:rPr>
        <w:t xml:space="preserve"> production from certain sectors until 2036 and 2041, leading to its "concern" score, on sustainability and policy alignment. DAC's primary sustainability issue is its dependence on renewable electricity, which is required for </w:t>
      </w:r>
      <w:proofErr w:type="spellStart"/>
      <w:r w:rsidRPr="00670221">
        <w:rPr>
          <w:lang w:val="en-US"/>
        </w:rPr>
        <w:t>eSAF</w:t>
      </w:r>
      <w:proofErr w:type="spellEnd"/>
      <w:r w:rsidRPr="00670221">
        <w:rPr>
          <w:lang w:val="en-US"/>
        </w:rPr>
        <w:t xml:space="preserve"> production to meet EU environmental standards.</w:t>
      </w:r>
    </w:p>
    <w:p w14:paraId="47E15822" w14:textId="704BA8C3" w:rsidR="00F4216C" w:rsidRPr="00670221" w:rsidRDefault="00505895" w:rsidP="00F4216C">
      <w:pPr>
        <w:rPr>
          <w:lang w:val="en-US"/>
        </w:rPr>
      </w:pPr>
      <w:r w:rsidRPr="00670221">
        <w:rPr>
          <w:lang w:val="en-US"/>
        </w:rPr>
        <w:t xml:space="preserve">Although ammonia is being explored as a maritime fuel, it is currently unsuitable for aviation due to its lower energy density compared to jet fuel, the need for significant modifications to </w:t>
      </w:r>
      <w:r w:rsidRPr="00670221">
        <w:rPr>
          <w:lang w:val="en-US"/>
        </w:rPr>
        <w:lastRenderedPageBreak/>
        <w:t>engines and infrastructure, and the safety concerns posed by its toxicity and handling risks in confined environments like aircraft (</w:t>
      </w:r>
      <w:proofErr w:type="spellStart"/>
      <w:r w:rsidRPr="00670221">
        <w:rPr>
          <w:lang w:val="en-US"/>
        </w:rPr>
        <w:t>Amhamed</w:t>
      </w:r>
      <w:proofErr w:type="spellEnd"/>
      <w:r w:rsidRPr="00670221">
        <w:rPr>
          <w:lang w:val="en-US"/>
        </w:rPr>
        <w:t xml:space="preserve"> et al., 2024).</w:t>
      </w:r>
    </w:p>
    <w:p w14:paraId="51C7C5D9" w14:textId="24973D98" w:rsidR="00157145" w:rsidRPr="00670221" w:rsidRDefault="00157145" w:rsidP="00493887">
      <w:pPr>
        <w:pStyle w:val="Heading4"/>
        <w:rPr>
          <w:lang w:val="en-US"/>
        </w:rPr>
      </w:pPr>
      <w:r w:rsidRPr="00670221">
        <w:rPr>
          <w:lang w:val="en-US"/>
        </w:rPr>
        <w:t xml:space="preserve">Fuel </w:t>
      </w:r>
      <w:r w:rsidR="00493887" w:rsidRPr="00670221">
        <w:rPr>
          <w:lang w:val="en-US"/>
        </w:rPr>
        <w:t>S</w:t>
      </w:r>
      <w:r w:rsidRPr="00670221">
        <w:rPr>
          <w:lang w:val="en-US"/>
        </w:rPr>
        <w:t>ynthesis</w:t>
      </w:r>
    </w:p>
    <w:tbl>
      <w:tblPr>
        <w:tblStyle w:val="TableGrid"/>
        <w:tblW w:w="5008" w:type="pct"/>
        <w:tblLayout w:type="fixed"/>
        <w:tblLook w:val="04A0" w:firstRow="1" w:lastRow="0" w:firstColumn="1" w:lastColumn="0" w:noHBand="0" w:noVBand="1"/>
      </w:tblPr>
      <w:tblGrid>
        <w:gridCol w:w="2260"/>
        <w:gridCol w:w="1129"/>
        <w:gridCol w:w="1129"/>
        <w:gridCol w:w="1129"/>
        <w:gridCol w:w="1129"/>
        <w:gridCol w:w="1129"/>
        <w:gridCol w:w="1125"/>
      </w:tblGrid>
      <w:tr w:rsidR="00756B17" w:rsidRPr="00670221" w14:paraId="27E01EC7" w14:textId="77777777" w:rsidTr="00202827">
        <w:trPr>
          <w:trHeight w:val="227"/>
        </w:trPr>
        <w:tc>
          <w:tcPr>
            <w:tcW w:w="1252" w:type="pct"/>
          </w:tcPr>
          <w:p w14:paraId="10956D3E" w14:textId="77777777" w:rsidR="00756B17" w:rsidRPr="00670221" w:rsidRDefault="00756B17" w:rsidP="00C336B0">
            <w:pPr>
              <w:rPr>
                <w:sz w:val="20"/>
                <w:szCs w:val="20"/>
                <w:lang w:val="en-US"/>
              </w:rPr>
            </w:pPr>
          </w:p>
        </w:tc>
        <w:tc>
          <w:tcPr>
            <w:tcW w:w="625" w:type="pct"/>
          </w:tcPr>
          <w:p w14:paraId="4F8C92F4" w14:textId="1DE1190F" w:rsidR="00756B17" w:rsidRPr="00670221" w:rsidRDefault="004B5CB6" w:rsidP="00C62C1A">
            <w:pPr>
              <w:jc w:val="center"/>
              <w:rPr>
                <w:sz w:val="20"/>
                <w:szCs w:val="20"/>
                <w:lang w:val="en-US"/>
              </w:rPr>
            </w:pPr>
            <w:r w:rsidRPr="00670221">
              <w:rPr>
                <w:sz w:val="20"/>
                <w:szCs w:val="20"/>
                <w:lang w:val="en-US"/>
              </w:rPr>
              <w:t>REDOX + FT</w:t>
            </w:r>
          </w:p>
        </w:tc>
        <w:tc>
          <w:tcPr>
            <w:tcW w:w="625" w:type="pct"/>
          </w:tcPr>
          <w:p w14:paraId="5EEE73A7" w14:textId="327F6C85" w:rsidR="00756B17" w:rsidRPr="00670221" w:rsidRDefault="004B5CB6" w:rsidP="00C62C1A">
            <w:pPr>
              <w:jc w:val="center"/>
              <w:rPr>
                <w:sz w:val="20"/>
                <w:szCs w:val="20"/>
                <w:lang w:val="en-US"/>
              </w:rPr>
            </w:pPr>
            <w:r w:rsidRPr="00670221">
              <w:rPr>
                <w:sz w:val="20"/>
                <w:szCs w:val="20"/>
                <w:lang w:val="en-US"/>
              </w:rPr>
              <w:t>RWGS + FT</w:t>
            </w:r>
          </w:p>
        </w:tc>
        <w:tc>
          <w:tcPr>
            <w:tcW w:w="625" w:type="pct"/>
            <w:tcBorders>
              <w:bottom w:val="single" w:sz="4" w:space="0" w:color="auto"/>
            </w:tcBorders>
          </w:tcPr>
          <w:p w14:paraId="7CD7C5C6" w14:textId="17115D4E" w:rsidR="00756B17" w:rsidRPr="00670221" w:rsidRDefault="004B5CB6" w:rsidP="00C62C1A">
            <w:pPr>
              <w:jc w:val="center"/>
              <w:rPr>
                <w:sz w:val="20"/>
                <w:szCs w:val="20"/>
                <w:lang w:val="en-US"/>
              </w:rPr>
            </w:pPr>
            <w:r w:rsidRPr="00670221">
              <w:rPr>
                <w:sz w:val="20"/>
                <w:szCs w:val="20"/>
                <w:lang w:val="en-US"/>
              </w:rPr>
              <w:t>FT</w:t>
            </w:r>
          </w:p>
        </w:tc>
        <w:tc>
          <w:tcPr>
            <w:tcW w:w="625" w:type="pct"/>
          </w:tcPr>
          <w:p w14:paraId="7CCB43A6" w14:textId="485C5131" w:rsidR="00756B17" w:rsidRPr="00670221" w:rsidRDefault="004B5CB6" w:rsidP="00C62C1A">
            <w:pPr>
              <w:jc w:val="center"/>
              <w:rPr>
                <w:sz w:val="20"/>
                <w:szCs w:val="20"/>
                <w:lang w:val="en-US"/>
              </w:rPr>
            </w:pPr>
            <w:r w:rsidRPr="00670221">
              <w:rPr>
                <w:sz w:val="20"/>
                <w:szCs w:val="20"/>
                <w:lang w:val="en-US"/>
              </w:rPr>
              <w:t>HEFA</w:t>
            </w:r>
          </w:p>
        </w:tc>
        <w:tc>
          <w:tcPr>
            <w:tcW w:w="625" w:type="pct"/>
          </w:tcPr>
          <w:p w14:paraId="1CEF27C6" w14:textId="63C323BA" w:rsidR="00756B17" w:rsidRPr="00670221" w:rsidRDefault="004B5CB6" w:rsidP="00C62C1A">
            <w:pPr>
              <w:jc w:val="center"/>
              <w:rPr>
                <w:sz w:val="20"/>
                <w:szCs w:val="20"/>
                <w:lang w:val="en-US"/>
              </w:rPr>
            </w:pPr>
            <w:r w:rsidRPr="00670221">
              <w:rPr>
                <w:sz w:val="20"/>
                <w:szCs w:val="20"/>
                <w:lang w:val="en-US"/>
              </w:rPr>
              <w:t>Alcohol-to-Jet</w:t>
            </w:r>
          </w:p>
        </w:tc>
        <w:tc>
          <w:tcPr>
            <w:tcW w:w="625" w:type="pct"/>
          </w:tcPr>
          <w:p w14:paraId="1DD5A322" w14:textId="4E6A1F62" w:rsidR="00756B17" w:rsidRPr="00670221" w:rsidRDefault="004B5CB6" w:rsidP="00C62C1A">
            <w:pPr>
              <w:jc w:val="center"/>
              <w:rPr>
                <w:sz w:val="20"/>
                <w:szCs w:val="20"/>
                <w:lang w:val="en-US"/>
              </w:rPr>
            </w:pPr>
            <w:r w:rsidRPr="00670221">
              <w:rPr>
                <w:sz w:val="20"/>
                <w:szCs w:val="20"/>
                <w:lang w:val="en-US"/>
              </w:rPr>
              <w:t>Methanol-to-Jet</w:t>
            </w:r>
          </w:p>
        </w:tc>
      </w:tr>
      <w:tr w:rsidR="00040995" w:rsidRPr="00670221" w14:paraId="31FF15B6" w14:textId="77777777" w:rsidTr="00202827">
        <w:trPr>
          <w:trHeight w:val="227"/>
        </w:trPr>
        <w:tc>
          <w:tcPr>
            <w:tcW w:w="1252" w:type="pct"/>
          </w:tcPr>
          <w:p w14:paraId="5C098073" w14:textId="459A93A5" w:rsidR="00756B17" w:rsidRPr="00670221" w:rsidRDefault="00F023E1" w:rsidP="00C336B0">
            <w:pPr>
              <w:rPr>
                <w:sz w:val="20"/>
                <w:szCs w:val="20"/>
                <w:lang w:val="en-US"/>
              </w:rPr>
            </w:pPr>
            <w:r w:rsidRPr="00670221">
              <w:rPr>
                <w:sz w:val="20"/>
                <w:szCs w:val="20"/>
                <w:lang w:val="en-US"/>
              </w:rPr>
              <w:t>TRL</w:t>
            </w:r>
          </w:p>
        </w:tc>
        <w:tc>
          <w:tcPr>
            <w:tcW w:w="625" w:type="pct"/>
            <w:shd w:val="clear" w:color="auto" w:fill="FFC000"/>
          </w:tcPr>
          <w:p w14:paraId="7391928B" w14:textId="6EBC326C" w:rsidR="00756B17" w:rsidRPr="00670221" w:rsidRDefault="00E248D7" w:rsidP="00C62C1A">
            <w:pPr>
              <w:jc w:val="center"/>
              <w:rPr>
                <w:sz w:val="20"/>
                <w:szCs w:val="20"/>
                <w:lang w:val="en-US"/>
              </w:rPr>
            </w:pPr>
            <w:r w:rsidRPr="00670221">
              <w:rPr>
                <w:sz w:val="20"/>
                <w:szCs w:val="20"/>
                <w:lang w:val="en-US"/>
              </w:rPr>
              <w:t>2</w:t>
            </w:r>
          </w:p>
        </w:tc>
        <w:tc>
          <w:tcPr>
            <w:tcW w:w="625" w:type="pct"/>
            <w:shd w:val="clear" w:color="auto" w:fill="FFC000"/>
          </w:tcPr>
          <w:p w14:paraId="32AFC560" w14:textId="3A98494B" w:rsidR="00756B17" w:rsidRPr="00670221" w:rsidRDefault="00E248D7" w:rsidP="00C62C1A">
            <w:pPr>
              <w:jc w:val="center"/>
              <w:rPr>
                <w:sz w:val="20"/>
                <w:szCs w:val="20"/>
                <w:lang w:val="en-US"/>
              </w:rPr>
            </w:pPr>
            <w:r w:rsidRPr="00670221">
              <w:rPr>
                <w:sz w:val="20"/>
                <w:szCs w:val="20"/>
                <w:lang w:val="en-US"/>
              </w:rPr>
              <w:t>2</w:t>
            </w:r>
          </w:p>
        </w:tc>
        <w:tc>
          <w:tcPr>
            <w:tcW w:w="625" w:type="pct"/>
            <w:tcBorders>
              <w:right w:val="single" w:sz="4" w:space="0" w:color="auto"/>
            </w:tcBorders>
            <w:shd w:val="clear" w:color="auto" w:fill="92D050"/>
          </w:tcPr>
          <w:p w14:paraId="1C33B67D" w14:textId="77777777" w:rsidR="00756B17" w:rsidRPr="00396B9D" w:rsidRDefault="00756B17" w:rsidP="00C62C1A">
            <w:pPr>
              <w:jc w:val="center"/>
              <w:rPr>
                <w:color w:val="00B050"/>
                <w:sz w:val="20"/>
                <w:szCs w:val="20"/>
                <w:highlight w:val="yellow"/>
                <w:lang w:val="en-US"/>
              </w:rPr>
            </w:pPr>
          </w:p>
        </w:tc>
        <w:tc>
          <w:tcPr>
            <w:tcW w:w="625" w:type="pct"/>
            <w:tcBorders>
              <w:left w:val="single" w:sz="4" w:space="0" w:color="auto"/>
            </w:tcBorders>
            <w:shd w:val="clear" w:color="auto" w:fill="92D050"/>
          </w:tcPr>
          <w:p w14:paraId="06EC9F3F" w14:textId="77777777" w:rsidR="00756B17" w:rsidRPr="00670221" w:rsidRDefault="00756B17" w:rsidP="00C62C1A">
            <w:pPr>
              <w:jc w:val="center"/>
              <w:rPr>
                <w:sz w:val="20"/>
                <w:szCs w:val="20"/>
                <w:lang w:val="en-US"/>
              </w:rPr>
            </w:pPr>
          </w:p>
        </w:tc>
        <w:tc>
          <w:tcPr>
            <w:tcW w:w="625" w:type="pct"/>
            <w:shd w:val="clear" w:color="auto" w:fill="FFFF00"/>
          </w:tcPr>
          <w:p w14:paraId="3EA5F274" w14:textId="7F40A6F2" w:rsidR="00756B17" w:rsidRPr="00670221" w:rsidRDefault="00E248D7" w:rsidP="00C62C1A">
            <w:pPr>
              <w:jc w:val="center"/>
              <w:rPr>
                <w:sz w:val="20"/>
                <w:szCs w:val="20"/>
                <w:lang w:val="en-US"/>
              </w:rPr>
            </w:pPr>
            <w:r w:rsidRPr="00670221">
              <w:rPr>
                <w:sz w:val="20"/>
                <w:szCs w:val="20"/>
                <w:lang w:val="en-US"/>
              </w:rPr>
              <w:t>1</w:t>
            </w:r>
          </w:p>
        </w:tc>
        <w:tc>
          <w:tcPr>
            <w:tcW w:w="625" w:type="pct"/>
            <w:shd w:val="clear" w:color="auto" w:fill="FFFF00"/>
          </w:tcPr>
          <w:p w14:paraId="7F531950" w14:textId="6E5196E9" w:rsidR="00756B17" w:rsidRPr="00670221" w:rsidRDefault="00E248D7" w:rsidP="00C62C1A">
            <w:pPr>
              <w:jc w:val="center"/>
              <w:rPr>
                <w:sz w:val="20"/>
                <w:szCs w:val="20"/>
                <w:lang w:val="en-US"/>
              </w:rPr>
            </w:pPr>
            <w:r w:rsidRPr="00670221">
              <w:rPr>
                <w:sz w:val="20"/>
                <w:szCs w:val="20"/>
                <w:lang w:val="en-US"/>
              </w:rPr>
              <w:t>1</w:t>
            </w:r>
          </w:p>
        </w:tc>
      </w:tr>
      <w:tr w:rsidR="00040995" w:rsidRPr="00670221" w14:paraId="584398D0" w14:textId="77777777" w:rsidTr="00202827">
        <w:trPr>
          <w:trHeight w:val="227"/>
        </w:trPr>
        <w:tc>
          <w:tcPr>
            <w:tcW w:w="1252" w:type="pct"/>
          </w:tcPr>
          <w:p w14:paraId="21F0C681" w14:textId="302770D0" w:rsidR="00756B17" w:rsidRPr="00670221" w:rsidRDefault="00F023E1" w:rsidP="00C336B0">
            <w:pPr>
              <w:rPr>
                <w:sz w:val="20"/>
                <w:szCs w:val="20"/>
                <w:lang w:val="en-US"/>
              </w:rPr>
            </w:pPr>
            <w:r w:rsidRPr="00670221">
              <w:rPr>
                <w:sz w:val="20"/>
                <w:szCs w:val="20"/>
                <w:lang w:val="en-US"/>
              </w:rPr>
              <w:t>Certified pathway</w:t>
            </w:r>
          </w:p>
        </w:tc>
        <w:tc>
          <w:tcPr>
            <w:tcW w:w="625" w:type="pct"/>
            <w:shd w:val="clear" w:color="auto" w:fill="92D050"/>
          </w:tcPr>
          <w:p w14:paraId="2CFBFF1B" w14:textId="77777777" w:rsidR="00756B17" w:rsidRPr="00670221" w:rsidRDefault="00756B17" w:rsidP="00C62C1A">
            <w:pPr>
              <w:jc w:val="center"/>
              <w:rPr>
                <w:sz w:val="20"/>
                <w:szCs w:val="20"/>
                <w:lang w:val="en-US"/>
              </w:rPr>
            </w:pPr>
          </w:p>
        </w:tc>
        <w:tc>
          <w:tcPr>
            <w:tcW w:w="625" w:type="pct"/>
            <w:shd w:val="clear" w:color="auto" w:fill="92D050"/>
          </w:tcPr>
          <w:p w14:paraId="5A768A25" w14:textId="77777777" w:rsidR="00756B17" w:rsidRPr="00670221" w:rsidRDefault="00756B17" w:rsidP="00C62C1A">
            <w:pPr>
              <w:jc w:val="center"/>
              <w:rPr>
                <w:sz w:val="20"/>
                <w:szCs w:val="20"/>
                <w:lang w:val="en-US"/>
              </w:rPr>
            </w:pPr>
          </w:p>
        </w:tc>
        <w:tc>
          <w:tcPr>
            <w:tcW w:w="625" w:type="pct"/>
            <w:tcBorders>
              <w:right w:val="single" w:sz="4" w:space="0" w:color="auto"/>
            </w:tcBorders>
            <w:shd w:val="clear" w:color="auto" w:fill="92D050"/>
          </w:tcPr>
          <w:p w14:paraId="109E9765" w14:textId="77777777" w:rsidR="00756B17" w:rsidRPr="00396B9D" w:rsidRDefault="00756B17" w:rsidP="00C62C1A">
            <w:pPr>
              <w:jc w:val="center"/>
              <w:rPr>
                <w:color w:val="00B050"/>
                <w:sz w:val="20"/>
                <w:szCs w:val="20"/>
                <w:highlight w:val="green"/>
                <w:vertAlign w:val="superscript"/>
                <w:lang w:val="en-US"/>
              </w:rPr>
            </w:pPr>
          </w:p>
        </w:tc>
        <w:tc>
          <w:tcPr>
            <w:tcW w:w="625" w:type="pct"/>
            <w:tcBorders>
              <w:left w:val="single" w:sz="4" w:space="0" w:color="auto"/>
            </w:tcBorders>
            <w:shd w:val="clear" w:color="auto" w:fill="92D050"/>
          </w:tcPr>
          <w:p w14:paraId="2F22AB06" w14:textId="77777777" w:rsidR="00756B17" w:rsidRPr="00BB6BF1" w:rsidRDefault="00756B17" w:rsidP="00C62C1A">
            <w:pPr>
              <w:jc w:val="center"/>
              <w:rPr>
                <w:sz w:val="20"/>
                <w:szCs w:val="20"/>
                <w:highlight w:val="green"/>
                <w:lang w:val="en-US"/>
              </w:rPr>
            </w:pPr>
          </w:p>
        </w:tc>
        <w:tc>
          <w:tcPr>
            <w:tcW w:w="625" w:type="pct"/>
            <w:shd w:val="clear" w:color="auto" w:fill="92D050"/>
          </w:tcPr>
          <w:p w14:paraId="6007DAE5" w14:textId="77777777" w:rsidR="00756B17" w:rsidRPr="00670221" w:rsidRDefault="00756B17" w:rsidP="00C62C1A">
            <w:pPr>
              <w:jc w:val="center"/>
              <w:rPr>
                <w:sz w:val="20"/>
                <w:szCs w:val="20"/>
                <w:lang w:val="en-US"/>
              </w:rPr>
            </w:pPr>
          </w:p>
        </w:tc>
        <w:tc>
          <w:tcPr>
            <w:tcW w:w="625" w:type="pct"/>
            <w:shd w:val="clear" w:color="auto" w:fill="FF0000"/>
          </w:tcPr>
          <w:p w14:paraId="28657B9A" w14:textId="29B1ADF2" w:rsidR="00756B17" w:rsidRPr="00670221" w:rsidRDefault="00C62C1A" w:rsidP="00C62C1A">
            <w:pPr>
              <w:jc w:val="center"/>
              <w:rPr>
                <w:sz w:val="20"/>
                <w:szCs w:val="20"/>
                <w:lang w:val="en-US"/>
              </w:rPr>
            </w:pPr>
            <w:r w:rsidRPr="00670221">
              <w:rPr>
                <w:sz w:val="20"/>
                <w:szCs w:val="20"/>
                <w:lang w:val="en-US"/>
              </w:rPr>
              <w:t>3</w:t>
            </w:r>
          </w:p>
        </w:tc>
      </w:tr>
      <w:tr w:rsidR="00040995" w:rsidRPr="00670221" w14:paraId="4A7F638D" w14:textId="77777777" w:rsidTr="00202827">
        <w:trPr>
          <w:trHeight w:val="227"/>
        </w:trPr>
        <w:tc>
          <w:tcPr>
            <w:tcW w:w="1252" w:type="pct"/>
          </w:tcPr>
          <w:p w14:paraId="344A438C" w14:textId="2B75F965" w:rsidR="00756B17" w:rsidRPr="00670221" w:rsidRDefault="00F023E1" w:rsidP="00C336B0">
            <w:pPr>
              <w:rPr>
                <w:sz w:val="20"/>
                <w:szCs w:val="20"/>
                <w:lang w:val="en-US"/>
              </w:rPr>
            </w:pPr>
            <w:r w:rsidRPr="00670221">
              <w:rPr>
                <w:sz w:val="20"/>
                <w:szCs w:val="20"/>
                <w:lang w:val="en-US"/>
              </w:rPr>
              <w:t>Integrable with DAC</w:t>
            </w:r>
          </w:p>
        </w:tc>
        <w:tc>
          <w:tcPr>
            <w:tcW w:w="625" w:type="pct"/>
            <w:shd w:val="clear" w:color="auto" w:fill="FFC000"/>
          </w:tcPr>
          <w:p w14:paraId="200E1F7D" w14:textId="44ABD19C" w:rsidR="00756B17" w:rsidRPr="00670221" w:rsidRDefault="00C62C1A" w:rsidP="00C62C1A">
            <w:pPr>
              <w:jc w:val="center"/>
              <w:rPr>
                <w:sz w:val="20"/>
                <w:szCs w:val="20"/>
                <w:lang w:val="en-US"/>
              </w:rPr>
            </w:pPr>
            <w:r w:rsidRPr="00670221">
              <w:rPr>
                <w:sz w:val="20"/>
                <w:szCs w:val="20"/>
                <w:lang w:val="en-US"/>
              </w:rPr>
              <w:t>2</w:t>
            </w:r>
          </w:p>
        </w:tc>
        <w:tc>
          <w:tcPr>
            <w:tcW w:w="625" w:type="pct"/>
            <w:shd w:val="clear" w:color="auto" w:fill="92D050"/>
          </w:tcPr>
          <w:p w14:paraId="58DAB8C7" w14:textId="77777777" w:rsidR="00756B17" w:rsidRPr="00670221" w:rsidRDefault="00756B17" w:rsidP="00C62C1A">
            <w:pPr>
              <w:jc w:val="center"/>
              <w:rPr>
                <w:sz w:val="20"/>
                <w:szCs w:val="20"/>
                <w:lang w:val="en-US"/>
              </w:rPr>
            </w:pPr>
          </w:p>
        </w:tc>
        <w:tc>
          <w:tcPr>
            <w:tcW w:w="625" w:type="pct"/>
            <w:tcBorders>
              <w:right w:val="single" w:sz="4" w:space="0" w:color="auto"/>
            </w:tcBorders>
            <w:shd w:val="clear" w:color="auto" w:fill="92D050"/>
          </w:tcPr>
          <w:p w14:paraId="59EF973D" w14:textId="77777777" w:rsidR="00756B17" w:rsidRPr="00396B9D" w:rsidRDefault="00756B17" w:rsidP="00C62C1A">
            <w:pPr>
              <w:jc w:val="center"/>
              <w:rPr>
                <w:color w:val="00B050"/>
                <w:sz w:val="20"/>
                <w:szCs w:val="20"/>
                <w:highlight w:val="yellow"/>
                <w:lang w:val="en-US"/>
              </w:rPr>
            </w:pPr>
          </w:p>
        </w:tc>
        <w:tc>
          <w:tcPr>
            <w:tcW w:w="625" w:type="pct"/>
            <w:tcBorders>
              <w:left w:val="single" w:sz="4" w:space="0" w:color="auto"/>
            </w:tcBorders>
            <w:shd w:val="clear" w:color="auto" w:fill="FF0000"/>
          </w:tcPr>
          <w:p w14:paraId="5789DD0B" w14:textId="0D55BB88" w:rsidR="00756B17" w:rsidRPr="00670221" w:rsidRDefault="00C62C1A" w:rsidP="00C62C1A">
            <w:pPr>
              <w:jc w:val="center"/>
              <w:rPr>
                <w:sz w:val="20"/>
                <w:szCs w:val="20"/>
                <w:lang w:val="en-US"/>
              </w:rPr>
            </w:pPr>
            <w:r w:rsidRPr="00670221">
              <w:rPr>
                <w:sz w:val="20"/>
                <w:szCs w:val="20"/>
                <w:lang w:val="en-US"/>
              </w:rPr>
              <w:t>3</w:t>
            </w:r>
          </w:p>
        </w:tc>
        <w:tc>
          <w:tcPr>
            <w:tcW w:w="625" w:type="pct"/>
            <w:shd w:val="clear" w:color="auto" w:fill="FF0000"/>
          </w:tcPr>
          <w:p w14:paraId="5EF1DFB0" w14:textId="2D081245" w:rsidR="00756B17" w:rsidRPr="00670221" w:rsidRDefault="00C62C1A" w:rsidP="00C62C1A">
            <w:pPr>
              <w:jc w:val="center"/>
              <w:rPr>
                <w:sz w:val="20"/>
                <w:szCs w:val="20"/>
                <w:lang w:val="en-US"/>
              </w:rPr>
            </w:pPr>
            <w:r w:rsidRPr="00670221">
              <w:rPr>
                <w:sz w:val="20"/>
                <w:szCs w:val="20"/>
                <w:lang w:val="en-US"/>
              </w:rPr>
              <w:t>3</w:t>
            </w:r>
          </w:p>
        </w:tc>
        <w:tc>
          <w:tcPr>
            <w:tcW w:w="625" w:type="pct"/>
            <w:shd w:val="clear" w:color="auto" w:fill="92D050"/>
          </w:tcPr>
          <w:p w14:paraId="001F43F9" w14:textId="77777777" w:rsidR="00756B17" w:rsidRPr="00670221" w:rsidRDefault="00756B17" w:rsidP="00C62C1A">
            <w:pPr>
              <w:keepNext/>
              <w:jc w:val="center"/>
              <w:rPr>
                <w:sz w:val="20"/>
                <w:szCs w:val="20"/>
                <w:lang w:val="en-US"/>
              </w:rPr>
            </w:pPr>
          </w:p>
        </w:tc>
      </w:tr>
      <w:tr w:rsidR="00C62C1A" w:rsidRPr="00670221" w14:paraId="3E71633E" w14:textId="77777777" w:rsidTr="00640BC5">
        <w:trPr>
          <w:trHeight w:val="227"/>
        </w:trPr>
        <w:tc>
          <w:tcPr>
            <w:tcW w:w="1252" w:type="pct"/>
          </w:tcPr>
          <w:p w14:paraId="6FBD06D7" w14:textId="3865D0C5" w:rsidR="00C62C1A" w:rsidRPr="00670221" w:rsidRDefault="00C62C1A" w:rsidP="00C336B0">
            <w:pPr>
              <w:rPr>
                <w:b/>
                <w:bCs/>
                <w:sz w:val="20"/>
                <w:szCs w:val="20"/>
                <w:lang w:val="en-US"/>
              </w:rPr>
            </w:pPr>
            <w:r w:rsidRPr="00670221">
              <w:rPr>
                <w:b/>
                <w:bCs/>
                <w:sz w:val="20"/>
                <w:szCs w:val="20"/>
                <w:lang w:val="en-US"/>
              </w:rPr>
              <w:t xml:space="preserve">Total: </w:t>
            </w:r>
          </w:p>
        </w:tc>
        <w:tc>
          <w:tcPr>
            <w:tcW w:w="625" w:type="pct"/>
            <w:shd w:val="clear" w:color="auto" w:fill="auto"/>
          </w:tcPr>
          <w:p w14:paraId="41BC5BD1" w14:textId="6E6FB94C" w:rsidR="00C62C1A" w:rsidRPr="00670221" w:rsidRDefault="00E248D7" w:rsidP="00C62C1A">
            <w:pPr>
              <w:jc w:val="center"/>
              <w:rPr>
                <w:sz w:val="20"/>
                <w:szCs w:val="20"/>
                <w:lang w:val="en-US"/>
              </w:rPr>
            </w:pPr>
            <w:r w:rsidRPr="00670221">
              <w:rPr>
                <w:sz w:val="20"/>
                <w:szCs w:val="20"/>
                <w:lang w:val="en-US"/>
              </w:rPr>
              <w:t>4</w:t>
            </w:r>
          </w:p>
        </w:tc>
        <w:tc>
          <w:tcPr>
            <w:tcW w:w="625" w:type="pct"/>
            <w:shd w:val="clear" w:color="auto" w:fill="auto"/>
          </w:tcPr>
          <w:p w14:paraId="721B488D" w14:textId="1E4FD157" w:rsidR="00C62C1A" w:rsidRPr="00670221" w:rsidRDefault="00E248D7" w:rsidP="00C62C1A">
            <w:pPr>
              <w:jc w:val="center"/>
              <w:rPr>
                <w:sz w:val="20"/>
                <w:szCs w:val="20"/>
                <w:lang w:val="en-US"/>
              </w:rPr>
            </w:pPr>
            <w:r w:rsidRPr="00670221">
              <w:rPr>
                <w:sz w:val="20"/>
                <w:szCs w:val="20"/>
                <w:lang w:val="en-US"/>
              </w:rPr>
              <w:t>2</w:t>
            </w:r>
          </w:p>
        </w:tc>
        <w:tc>
          <w:tcPr>
            <w:tcW w:w="625" w:type="pct"/>
            <w:shd w:val="clear" w:color="auto" w:fill="auto"/>
          </w:tcPr>
          <w:p w14:paraId="1BBB2B15" w14:textId="4F95BABB" w:rsidR="00C62C1A" w:rsidRPr="00670221" w:rsidRDefault="00C62C1A" w:rsidP="00C62C1A">
            <w:pPr>
              <w:jc w:val="center"/>
              <w:rPr>
                <w:sz w:val="20"/>
                <w:szCs w:val="20"/>
                <w:lang w:val="en-US"/>
              </w:rPr>
            </w:pPr>
            <w:r w:rsidRPr="00670221">
              <w:rPr>
                <w:sz w:val="20"/>
                <w:szCs w:val="20"/>
                <w:lang w:val="en-US"/>
              </w:rPr>
              <w:t>0</w:t>
            </w:r>
          </w:p>
        </w:tc>
        <w:tc>
          <w:tcPr>
            <w:tcW w:w="625" w:type="pct"/>
            <w:shd w:val="clear" w:color="auto" w:fill="auto"/>
          </w:tcPr>
          <w:p w14:paraId="767080A5" w14:textId="3E296C9A" w:rsidR="00C62C1A" w:rsidRPr="00670221" w:rsidRDefault="00C62C1A" w:rsidP="00C62C1A">
            <w:pPr>
              <w:jc w:val="center"/>
              <w:rPr>
                <w:sz w:val="20"/>
                <w:szCs w:val="20"/>
                <w:lang w:val="en-US"/>
              </w:rPr>
            </w:pPr>
            <w:r w:rsidRPr="00670221">
              <w:rPr>
                <w:sz w:val="20"/>
                <w:szCs w:val="20"/>
                <w:lang w:val="en-US"/>
              </w:rPr>
              <w:t>3</w:t>
            </w:r>
          </w:p>
        </w:tc>
        <w:tc>
          <w:tcPr>
            <w:tcW w:w="625" w:type="pct"/>
            <w:shd w:val="clear" w:color="auto" w:fill="auto"/>
          </w:tcPr>
          <w:p w14:paraId="550426BC" w14:textId="58BFC560" w:rsidR="00C62C1A" w:rsidRPr="00670221" w:rsidRDefault="00E248D7" w:rsidP="00C62C1A">
            <w:pPr>
              <w:jc w:val="center"/>
              <w:rPr>
                <w:sz w:val="20"/>
                <w:szCs w:val="20"/>
                <w:lang w:val="en-US"/>
              </w:rPr>
            </w:pPr>
            <w:r w:rsidRPr="00670221">
              <w:rPr>
                <w:sz w:val="20"/>
                <w:szCs w:val="20"/>
                <w:lang w:val="en-US"/>
              </w:rPr>
              <w:t>4</w:t>
            </w:r>
          </w:p>
        </w:tc>
        <w:tc>
          <w:tcPr>
            <w:tcW w:w="625" w:type="pct"/>
            <w:shd w:val="clear" w:color="auto" w:fill="auto"/>
          </w:tcPr>
          <w:p w14:paraId="1B4EF09C" w14:textId="3F3F3CE6" w:rsidR="00C62C1A" w:rsidRPr="00670221" w:rsidRDefault="00E248D7" w:rsidP="00C62C1A">
            <w:pPr>
              <w:keepNext/>
              <w:jc w:val="center"/>
              <w:rPr>
                <w:color w:val="000000" w:themeColor="text1"/>
                <w:sz w:val="20"/>
                <w:szCs w:val="20"/>
                <w:lang w:val="en-US"/>
              </w:rPr>
            </w:pPr>
            <w:r w:rsidRPr="00670221">
              <w:rPr>
                <w:color w:val="000000" w:themeColor="text1"/>
                <w:sz w:val="20"/>
                <w:szCs w:val="20"/>
                <w:lang w:val="en-US"/>
              </w:rPr>
              <w:t>4</w:t>
            </w:r>
          </w:p>
        </w:tc>
      </w:tr>
    </w:tbl>
    <w:p w14:paraId="31085146" w14:textId="7E534C5B" w:rsidR="008B10EE" w:rsidRPr="00670221" w:rsidRDefault="008B10EE">
      <w:pPr>
        <w:pStyle w:val="Caption"/>
        <w:rPr>
          <w:lang w:val="en-US"/>
        </w:rPr>
      </w:pPr>
      <w:bookmarkStart w:id="74" w:name="_Toc184403589"/>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3</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7</w:t>
      </w:r>
      <w:r w:rsidR="00EF60A5" w:rsidRPr="00670221">
        <w:rPr>
          <w:lang w:val="en-US"/>
        </w:rPr>
        <w:fldChar w:fldCharType="end"/>
      </w:r>
      <w:r w:rsidRPr="00670221">
        <w:rPr>
          <w:lang w:val="en-US"/>
        </w:rPr>
        <w:t xml:space="preserve">: </w:t>
      </w:r>
      <w:r w:rsidR="00EA124D" w:rsidRPr="00670221">
        <w:rPr>
          <w:lang w:val="en-US"/>
        </w:rPr>
        <w:t>F</w:t>
      </w:r>
      <w:r w:rsidRPr="00670221">
        <w:rPr>
          <w:lang w:val="en-US"/>
        </w:rPr>
        <w:t>uel synthesis scoring table</w:t>
      </w:r>
      <w:bookmarkEnd w:id="74"/>
    </w:p>
    <w:p w14:paraId="386B1F52" w14:textId="5CF6FB81" w:rsidR="0078007E" w:rsidRPr="00670221" w:rsidRDefault="0084407F" w:rsidP="00C336B0">
      <w:pPr>
        <w:rPr>
          <w:lang w:val="en-US"/>
        </w:rPr>
      </w:pPr>
      <w:r w:rsidRPr="0084407F">
        <w:rPr>
          <w:lang w:val="en-US"/>
        </w:rPr>
        <w:t xml:space="preserve">Fuel synthesis using a redox reactor powered by concentrated solar energy has been demonstrated at a pilot scale, such as the </w:t>
      </w:r>
      <w:r w:rsidR="00DF5345">
        <w:rPr>
          <w:lang w:val="en-US"/>
        </w:rPr>
        <w:t>r</w:t>
      </w:r>
      <w:r w:rsidRPr="0084407F">
        <w:rPr>
          <w:lang w:val="en-US"/>
        </w:rPr>
        <w:t xml:space="preserve">everse </w:t>
      </w:r>
      <w:r w:rsidR="00DF5345">
        <w:rPr>
          <w:lang w:val="en-US"/>
        </w:rPr>
        <w:t>w</w:t>
      </w:r>
      <w:r w:rsidRPr="0084407F">
        <w:rPr>
          <w:lang w:val="en-US"/>
        </w:rPr>
        <w:t>ater</w:t>
      </w:r>
      <w:r w:rsidR="0053034B">
        <w:rPr>
          <w:lang w:val="en-US"/>
        </w:rPr>
        <w:t>-</w:t>
      </w:r>
      <w:r w:rsidR="00DF5345">
        <w:rPr>
          <w:lang w:val="en-US"/>
        </w:rPr>
        <w:t>g</w:t>
      </w:r>
      <w:r w:rsidRPr="0084407F">
        <w:rPr>
          <w:lang w:val="en-US"/>
        </w:rPr>
        <w:t xml:space="preserve">as </w:t>
      </w:r>
      <w:r w:rsidR="00DF5345">
        <w:rPr>
          <w:lang w:val="en-US"/>
        </w:rPr>
        <w:t>s</w:t>
      </w:r>
      <w:r w:rsidRPr="0084407F">
        <w:rPr>
          <w:lang w:val="en-US"/>
        </w:rPr>
        <w:t xml:space="preserve">hift reactor (Moretti et al., 2023). While RWGS represents the most advanced </w:t>
      </w:r>
      <w:r w:rsidR="0082197B">
        <w:rPr>
          <w:lang w:val="en-US"/>
        </w:rPr>
        <w:t>p</w:t>
      </w:r>
      <w:r w:rsidRPr="0084407F">
        <w:rPr>
          <w:lang w:val="en-US"/>
        </w:rPr>
        <w:t>ower-to-</w:t>
      </w:r>
      <w:r w:rsidR="0082197B">
        <w:rPr>
          <w:lang w:val="en-US"/>
        </w:rPr>
        <w:t>l</w:t>
      </w:r>
      <w:r w:rsidRPr="0084407F">
        <w:rPr>
          <w:lang w:val="en-US"/>
        </w:rPr>
        <w:t xml:space="preserve">iquid technology, its application to SAF production requires adaptation, as it has predominantly been used in other industries (Appendix </w:t>
      </w:r>
      <w:r w:rsidR="00812514">
        <w:rPr>
          <w:lang w:val="en-US"/>
        </w:rPr>
        <w:t>F</w:t>
      </w:r>
      <w:r w:rsidRPr="0084407F">
        <w:rPr>
          <w:lang w:val="en-US"/>
        </w:rPr>
        <w:t>). Both redox and RWGS reactors have lower Technology Readiness Levels compared to established methods like Fischer-</w:t>
      </w:r>
      <w:proofErr w:type="spellStart"/>
      <w:r w:rsidRPr="0084407F">
        <w:rPr>
          <w:lang w:val="en-US"/>
        </w:rPr>
        <w:t>Tropsch</w:t>
      </w:r>
      <w:proofErr w:type="spellEnd"/>
      <w:r w:rsidRPr="0084407F">
        <w:rPr>
          <w:lang w:val="en-US"/>
        </w:rPr>
        <w:t xml:space="preserve"> and </w:t>
      </w:r>
      <w:proofErr w:type="spellStart"/>
      <w:r w:rsidRPr="0084407F">
        <w:rPr>
          <w:lang w:val="en-US"/>
        </w:rPr>
        <w:t>Hydroprocessed</w:t>
      </w:r>
      <w:proofErr w:type="spellEnd"/>
      <w:r w:rsidRPr="0084407F">
        <w:rPr>
          <w:lang w:val="en-US"/>
        </w:rPr>
        <w:t xml:space="preserve"> Esters and Fatty Acids, which have reached TRL 9. The variability in reported TRLs for these newer technologies across the literature underscores concerns regarding their readiness for large-scale deployment.</w:t>
      </w:r>
      <w:r w:rsidR="00812514">
        <w:rPr>
          <w:lang w:val="en-US"/>
        </w:rPr>
        <w:t xml:space="preserve"> </w:t>
      </w:r>
      <w:r w:rsidR="00907062" w:rsidRPr="00670221">
        <w:rPr>
          <w:lang w:val="en-US"/>
        </w:rPr>
        <w:t xml:space="preserve">Biofuel types like </w:t>
      </w:r>
      <w:proofErr w:type="spellStart"/>
      <w:r w:rsidR="00907062" w:rsidRPr="00670221">
        <w:rPr>
          <w:lang w:val="en-US"/>
        </w:rPr>
        <w:t>AtJ</w:t>
      </w:r>
      <w:proofErr w:type="spellEnd"/>
      <w:r w:rsidR="00907062" w:rsidRPr="00670221">
        <w:rPr>
          <w:lang w:val="en-US"/>
        </w:rPr>
        <w:t xml:space="preserve"> and </w:t>
      </w:r>
      <w:proofErr w:type="spellStart"/>
      <w:r w:rsidR="00907062" w:rsidRPr="00670221">
        <w:rPr>
          <w:lang w:val="en-US"/>
        </w:rPr>
        <w:t>MtJ</w:t>
      </w:r>
      <w:proofErr w:type="spellEnd"/>
      <w:r w:rsidR="00907062" w:rsidRPr="00670221">
        <w:rPr>
          <w:lang w:val="en-US"/>
        </w:rPr>
        <w:t xml:space="preserve"> are now being optimized for commercial deployment, placing them at TRL 8, indicating they are near full maturity (Su-</w:t>
      </w:r>
      <w:proofErr w:type="spellStart"/>
      <w:r w:rsidR="00907062" w:rsidRPr="00670221">
        <w:rPr>
          <w:lang w:val="en-US"/>
        </w:rPr>
        <w:t>Ungkavatin</w:t>
      </w:r>
      <w:proofErr w:type="spellEnd"/>
      <w:r w:rsidR="00907062" w:rsidRPr="00670221">
        <w:rPr>
          <w:lang w:val="en-US"/>
        </w:rPr>
        <w:t xml:space="preserve"> et al., 2023).</w:t>
      </w:r>
      <w:r w:rsidR="00A729E9" w:rsidRPr="00670221">
        <w:rPr>
          <w:lang w:val="en-US"/>
        </w:rPr>
        <w:t xml:space="preserve"> Methanol to jet has not been certified</w:t>
      </w:r>
      <w:r w:rsidR="006112C3" w:rsidRPr="00670221">
        <w:rPr>
          <w:lang w:val="en-US"/>
        </w:rPr>
        <w:t xml:space="preserve">, which is why it will not be considered in the TEA. </w:t>
      </w:r>
      <w:r w:rsidR="007E13FC" w:rsidRPr="00670221">
        <w:rPr>
          <w:lang w:val="en-US"/>
        </w:rPr>
        <w:t xml:space="preserve">DAC cannot be combined with HEFA or </w:t>
      </w:r>
      <w:proofErr w:type="spellStart"/>
      <w:r w:rsidR="007E13FC" w:rsidRPr="00670221">
        <w:rPr>
          <w:lang w:val="en-US"/>
        </w:rPr>
        <w:t>AtJ</w:t>
      </w:r>
      <w:proofErr w:type="spellEnd"/>
      <w:r w:rsidR="007E13FC" w:rsidRPr="00670221">
        <w:rPr>
          <w:lang w:val="en-US"/>
        </w:rPr>
        <w:t xml:space="preserve"> due to their need for organic feedstocks rather than CO₂</w:t>
      </w:r>
      <w:r w:rsidR="007A17D1" w:rsidRPr="00670221">
        <w:rPr>
          <w:lang w:val="en-US"/>
        </w:rPr>
        <w:t>, so they are also excluded from the following analysis.</w:t>
      </w:r>
    </w:p>
    <w:p w14:paraId="03B1A4B9" w14:textId="50961ACF" w:rsidR="00452304" w:rsidRPr="00670221" w:rsidRDefault="00452304" w:rsidP="00691C6C">
      <w:pPr>
        <w:rPr>
          <w:lang w:val="en-US"/>
        </w:rPr>
      </w:pPr>
      <w:r w:rsidRPr="00670221">
        <w:rPr>
          <w:lang w:val="en-US"/>
        </w:rPr>
        <w:t xml:space="preserve">Integrating Concentrated Solar Power </w:t>
      </w:r>
      <w:r w:rsidR="001C4510" w:rsidRPr="00670221">
        <w:rPr>
          <w:lang w:val="en-US"/>
        </w:rPr>
        <w:t xml:space="preserve">(CSP) </w:t>
      </w:r>
      <w:r w:rsidRPr="00670221">
        <w:rPr>
          <w:lang w:val="en-US"/>
        </w:rPr>
        <w:t xml:space="preserve">with </w:t>
      </w:r>
      <w:r w:rsidR="004A0212" w:rsidRPr="00670221">
        <w:rPr>
          <w:lang w:val="en-US"/>
        </w:rPr>
        <w:t>d</w:t>
      </w:r>
      <w:r w:rsidRPr="00670221">
        <w:rPr>
          <w:lang w:val="en-US"/>
        </w:rPr>
        <w:t>irect</w:t>
      </w:r>
      <w:r w:rsidR="004A0212" w:rsidRPr="00670221">
        <w:rPr>
          <w:lang w:val="en-US"/>
        </w:rPr>
        <w:t xml:space="preserve"> a</w:t>
      </w:r>
      <w:r w:rsidRPr="00670221">
        <w:rPr>
          <w:lang w:val="en-US"/>
        </w:rPr>
        <w:t xml:space="preserve">ir </w:t>
      </w:r>
      <w:r w:rsidR="004A0212" w:rsidRPr="00670221">
        <w:rPr>
          <w:lang w:val="en-US"/>
        </w:rPr>
        <w:t>c</w:t>
      </w:r>
      <w:r w:rsidRPr="00670221">
        <w:rPr>
          <w:lang w:val="en-US"/>
        </w:rPr>
        <w:t xml:space="preserve">apture is theoretically feasible but presents challenges. DAC requires additional electricity, which undermines CSP’s advantage of avoiding the need for both electricity and an </w:t>
      </w:r>
      <w:proofErr w:type="spellStart"/>
      <w:r w:rsidRPr="00670221">
        <w:rPr>
          <w:lang w:val="en-US"/>
        </w:rPr>
        <w:t>electrolyzer</w:t>
      </w:r>
      <w:proofErr w:type="spellEnd"/>
      <w:r w:rsidRPr="00670221">
        <w:rPr>
          <w:lang w:val="en-US"/>
        </w:rPr>
        <w:t xml:space="preserve">. If DAC is powered by a renewable grid, it would need to </w:t>
      </w:r>
      <w:proofErr w:type="gramStart"/>
      <w:r w:rsidRPr="00670221">
        <w:rPr>
          <w:lang w:val="en-US"/>
        </w:rPr>
        <w:t>be located in</w:t>
      </w:r>
      <w:proofErr w:type="gramEnd"/>
      <w:r w:rsidRPr="00670221">
        <w:rPr>
          <w:lang w:val="en-US"/>
        </w:rPr>
        <w:t xml:space="preserve"> regions like Denmark or other Scandinavian countries, which are not optimal for solar energy. Alternatively, building new RES capacity for DAC would negate CSP’s benefit of avoiding additional infrastructure. Furthermore, using heat and steam from CSP for electricity generation requires thermal storage, but this differs from the storage used in FT or RWGS + FT processes, complicating comparisons. While excluding storage for FT and RWGS + FT is fair due to their similar storage needs, excluding it in a CSP + REDOX + FT setup could create an unequal comparison (Moretti et al., 2023; Prats-</w:t>
      </w:r>
      <w:proofErr w:type="spellStart"/>
      <w:r w:rsidRPr="00670221">
        <w:rPr>
          <w:lang w:val="en-US"/>
        </w:rPr>
        <w:t>Salvado</w:t>
      </w:r>
      <w:proofErr w:type="spellEnd"/>
      <w:r w:rsidRPr="00670221">
        <w:rPr>
          <w:lang w:val="en-US"/>
        </w:rPr>
        <w:t xml:space="preserve"> et al., 2022). </w:t>
      </w:r>
    </w:p>
    <w:p w14:paraId="365B6C41" w14:textId="77777777" w:rsidR="00BA5A11" w:rsidRPr="00670221" w:rsidRDefault="00BA5A11" w:rsidP="00691C6C">
      <w:pPr>
        <w:rPr>
          <w:lang w:val="en-US"/>
        </w:rPr>
      </w:pPr>
    </w:p>
    <w:p w14:paraId="1333D083" w14:textId="77777777" w:rsidR="00BA5A11" w:rsidRPr="00670221" w:rsidRDefault="00FF6CA1" w:rsidP="00BA5A11">
      <w:pPr>
        <w:pStyle w:val="Heading2"/>
      </w:pPr>
      <w:bookmarkStart w:id="75" w:name="_Toc184403444"/>
      <w:r w:rsidRPr="00670221">
        <w:t>Conclu</w:t>
      </w:r>
      <w:r w:rsidR="00BA5A11" w:rsidRPr="00670221">
        <w:t>ding remarks</w:t>
      </w:r>
      <w:bookmarkEnd w:id="75"/>
    </w:p>
    <w:p w14:paraId="36543E48" w14:textId="0E9C09E2" w:rsidR="00FF6CA1" w:rsidRPr="00670221" w:rsidRDefault="00FF6CA1" w:rsidP="007A0857">
      <w:pPr>
        <w:pStyle w:val="Heading3"/>
      </w:pPr>
      <w:bookmarkStart w:id="76" w:name="_Toc184403445"/>
      <w:r w:rsidRPr="00670221">
        <w:t>Technical Criteria</w:t>
      </w:r>
      <w:bookmarkEnd w:id="76"/>
    </w:p>
    <w:p w14:paraId="40A158C1" w14:textId="5A8A78BC" w:rsidR="0015623E" w:rsidRPr="00670221" w:rsidRDefault="0015623E" w:rsidP="00691C6C">
      <w:pPr>
        <w:rPr>
          <w:lang w:val="en-US"/>
        </w:rPr>
      </w:pPr>
      <w:r w:rsidRPr="00670221">
        <w:rPr>
          <w:lang w:val="en-US"/>
        </w:rPr>
        <w:t xml:space="preserve">The EU's strategy to phase out nuclear energy prioritizes flexibility over generation capacity. However, </w:t>
      </w:r>
      <w:r w:rsidR="00BB075E" w:rsidRPr="00670221">
        <w:rPr>
          <w:lang w:val="en-US"/>
        </w:rPr>
        <w:t xml:space="preserve">a </w:t>
      </w:r>
      <w:r w:rsidR="00CA559B" w:rsidRPr="00670221">
        <w:rPr>
          <w:lang w:val="en-US"/>
        </w:rPr>
        <w:t xml:space="preserve">doubling </w:t>
      </w:r>
      <w:r w:rsidR="00BB075E" w:rsidRPr="00670221">
        <w:rPr>
          <w:lang w:val="en-US"/>
        </w:rPr>
        <w:t xml:space="preserve">of the EU’s </w:t>
      </w:r>
      <w:r w:rsidR="00CA559B" w:rsidRPr="00670221">
        <w:rPr>
          <w:lang w:val="en-US"/>
        </w:rPr>
        <w:t xml:space="preserve">current </w:t>
      </w:r>
      <w:r w:rsidR="00534514" w:rsidRPr="00670221">
        <w:rPr>
          <w:lang w:val="en-US"/>
        </w:rPr>
        <w:t xml:space="preserve">generation </w:t>
      </w:r>
      <w:r w:rsidR="00CA559B" w:rsidRPr="00670221">
        <w:rPr>
          <w:lang w:val="en-US"/>
        </w:rPr>
        <w:t>capacity</w:t>
      </w:r>
      <w:r w:rsidR="00BB075E" w:rsidRPr="00670221">
        <w:rPr>
          <w:lang w:val="en-US"/>
        </w:rPr>
        <w:t xml:space="preserve"> will be required solely to meet </w:t>
      </w:r>
      <w:r w:rsidR="0049736A" w:rsidRPr="00670221">
        <w:rPr>
          <w:lang w:val="en-US"/>
        </w:rPr>
        <w:t xml:space="preserve">the </w:t>
      </w:r>
      <w:r w:rsidR="00F90A7A" w:rsidRPr="00670221">
        <w:rPr>
          <w:lang w:val="en-US"/>
        </w:rPr>
        <w:t>2050</w:t>
      </w:r>
      <w:r w:rsidR="0049736A" w:rsidRPr="00670221">
        <w:rPr>
          <w:lang w:val="en-US"/>
        </w:rPr>
        <w:t xml:space="preserve"> </w:t>
      </w:r>
      <w:r w:rsidR="00F90A7A" w:rsidRPr="00670221">
        <w:rPr>
          <w:lang w:val="en-US"/>
        </w:rPr>
        <w:t>decarbonization goals</w:t>
      </w:r>
      <w:r w:rsidR="0049736A" w:rsidRPr="00670221">
        <w:rPr>
          <w:lang w:val="en-US"/>
        </w:rPr>
        <w:t xml:space="preserve"> of the aviation sector</w:t>
      </w:r>
      <w:r w:rsidR="00CA559B" w:rsidRPr="00670221">
        <w:rPr>
          <w:lang w:val="en-US"/>
        </w:rPr>
        <w:t xml:space="preserve">, suggesting the EU may need to reconsider its stance, as coupling nuclear energy with </w:t>
      </w:r>
      <w:proofErr w:type="spellStart"/>
      <w:r w:rsidR="00CA559B" w:rsidRPr="00670221">
        <w:rPr>
          <w:lang w:val="en-US"/>
        </w:rPr>
        <w:t>eSAF</w:t>
      </w:r>
      <w:proofErr w:type="spellEnd"/>
      <w:r w:rsidR="00CA559B" w:rsidRPr="00670221">
        <w:rPr>
          <w:lang w:val="en-US"/>
        </w:rPr>
        <w:t xml:space="preserve"> plants </w:t>
      </w:r>
      <w:r w:rsidR="00835996" w:rsidRPr="00670221">
        <w:rPr>
          <w:lang w:val="en-US"/>
        </w:rPr>
        <w:t>offers</w:t>
      </w:r>
      <w:r w:rsidR="00CA559B" w:rsidRPr="00670221">
        <w:rPr>
          <w:lang w:val="en-US"/>
        </w:rPr>
        <w:t xml:space="preserve"> advantages given the </w:t>
      </w:r>
      <w:r w:rsidR="00CA559B" w:rsidRPr="00670221">
        <w:rPr>
          <w:lang w:val="en-US"/>
        </w:rPr>
        <w:lastRenderedPageBreak/>
        <w:t xml:space="preserve">constant energy demand of </w:t>
      </w:r>
      <w:proofErr w:type="spellStart"/>
      <w:r w:rsidR="00CA559B" w:rsidRPr="00670221">
        <w:rPr>
          <w:lang w:val="en-US"/>
        </w:rPr>
        <w:t>eSAF</w:t>
      </w:r>
      <w:proofErr w:type="spellEnd"/>
      <w:r w:rsidR="00CA559B" w:rsidRPr="00670221">
        <w:rPr>
          <w:lang w:val="en-US"/>
        </w:rPr>
        <w:t xml:space="preserve"> production</w:t>
      </w:r>
      <w:r w:rsidR="002E1F39" w:rsidRPr="00670221">
        <w:rPr>
          <w:lang w:val="en-US"/>
        </w:rPr>
        <w:t xml:space="preserve"> (</w:t>
      </w:r>
      <w:r w:rsidR="00A15785" w:rsidRPr="00670221">
        <w:rPr>
          <w:lang w:val="en-US"/>
        </w:rPr>
        <w:t>Su-</w:t>
      </w:r>
      <w:proofErr w:type="spellStart"/>
      <w:r w:rsidR="00A15785" w:rsidRPr="00670221">
        <w:rPr>
          <w:lang w:val="en-US"/>
        </w:rPr>
        <w:t>ungkavatin</w:t>
      </w:r>
      <w:proofErr w:type="spellEnd"/>
      <w:r w:rsidR="00A15785" w:rsidRPr="00670221">
        <w:rPr>
          <w:lang w:val="en-US"/>
        </w:rPr>
        <w:t xml:space="preserve"> et al., 2023)</w:t>
      </w:r>
      <w:r w:rsidRPr="00670221">
        <w:rPr>
          <w:lang w:val="en-US"/>
        </w:rPr>
        <w:t>. Yet, since new</w:t>
      </w:r>
      <w:r w:rsidR="002B6126" w:rsidRPr="00670221">
        <w:rPr>
          <w:lang w:val="en-US"/>
        </w:rPr>
        <w:t xml:space="preserve"> nuclear </w:t>
      </w:r>
      <w:r w:rsidRPr="00670221">
        <w:rPr>
          <w:lang w:val="en-US"/>
        </w:rPr>
        <w:t>capacity w</w:t>
      </w:r>
      <w:r w:rsidR="002E1F39" w:rsidRPr="00670221">
        <w:rPr>
          <w:lang w:val="en-US"/>
        </w:rPr>
        <w:t>ill not</w:t>
      </w:r>
      <w:r w:rsidRPr="00670221">
        <w:rPr>
          <w:lang w:val="en-US"/>
        </w:rPr>
        <w:t xml:space="preserve"> be added in time to meet near-term mandates, </w:t>
      </w:r>
      <w:proofErr w:type="spellStart"/>
      <w:r w:rsidRPr="00670221">
        <w:rPr>
          <w:lang w:val="en-US"/>
        </w:rPr>
        <w:t>eSAF</w:t>
      </w:r>
      <w:proofErr w:type="spellEnd"/>
      <w:r w:rsidRPr="00670221">
        <w:rPr>
          <w:lang w:val="en-US"/>
        </w:rPr>
        <w:t xml:space="preserve"> projects should focus on countries with grids over 90% renewable electricity. This approach </w:t>
      </w:r>
      <w:r w:rsidR="0045391A" w:rsidRPr="00670221">
        <w:rPr>
          <w:lang w:val="en-US"/>
        </w:rPr>
        <w:t xml:space="preserve">also </w:t>
      </w:r>
      <w:r w:rsidR="00123E74" w:rsidRPr="00670221">
        <w:rPr>
          <w:lang w:val="en-US"/>
        </w:rPr>
        <w:t>simplifies the following model by removing the need to optimize renewable generation profiles</w:t>
      </w:r>
      <w:r w:rsidR="00F94E29" w:rsidRPr="00670221">
        <w:rPr>
          <w:lang w:val="en-US"/>
        </w:rPr>
        <w:t xml:space="preserve">, </w:t>
      </w:r>
      <w:r w:rsidR="00834B3D" w:rsidRPr="00670221">
        <w:rPr>
          <w:lang w:val="en-US"/>
        </w:rPr>
        <w:t>electricity storage</w:t>
      </w:r>
      <w:r w:rsidR="00123E74" w:rsidRPr="00670221">
        <w:rPr>
          <w:lang w:val="en-US"/>
        </w:rPr>
        <w:t xml:space="preserve"> and plant sizing.</w:t>
      </w:r>
    </w:p>
    <w:p w14:paraId="13CC560C" w14:textId="5B6C045F" w:rsidR="00387EB6" w:rsidRPr="00670221" w:rsidRDefault="006624F1" w:rsidP="00691C6C">
      <w:pPr>
        <w:rPr>
          <w:lang w:val="en-US"/>
        </w:rPr>
      </w:pPr>
      <w:r w:rsidRPr="00670221">
        <w:rPr>
          <w:lang w:val="en-US"/>
        </w:rPr>
        <w:t xml:space="preserve">This study </w:t>
      </w:r>
      <w:r w:rsidR="00CC215E" w:rsidRPr="00670221">
        <w:rPr>
          <w:lang w:val="en-US"/>
        </w:rPr>
        <w:t xml:space="preserve">will further </w:t>
      </w:r>
      <w:r w:rsidRPr="00670221">
        <w:rPr>
          <w:lang w:val="en-US"/>
        </w:rPr>
        <w:t>focus on</w:t>
      </w:r>
      <w:r w:rsidR="00563789">
        <w:rPr>
          <w:lang w:val="en-US"/>
        </w:rPr>
        <w:t xml:space="preserve"> p</w:t>
      </w:r>
      <w:r w:rsidRPr="00670221">
        <w:rPr>
          <w:lang w:val="en-US"/>
        </w:rPr>
        <w:t xml:space="preserve">roton </w:t>
      </w:r>
      <w:r w:rsidR="00563789">
        <w:rPr>
          <w:lang w:val="en-US"/>
        </w:rPr>
        <w:t>e</w:t>
      </w:r>
      <w:r w:rsidRPr="00670221">
        <w:rPr>
          <w:lang w:val="en-US"/>
        </w:rPr>
        <w:t xml:space="preserve">xchange </w:t>
      </w:r>
      <w:r w:rsidR="00563789">
        <w:rPr>
          <w:lang w:val="en-US"/>
        </w:rPr>
        <w:t>m</w:t>
      </w:r>
      <w:r w:rsidRPr="00670221">
        <w:rPr>
          <w:lang w:val="en-US"/>
        </w:rPr>
        <w:t xml:space="preserve">embrane </w:t>
      </w:r>
      <w:r w:rsidR="00563789">
        <w:rPr>
          <w:lang w:val="en-US"/>
        </w:rPr>
        <w:t>e</w:t>
      </w:r>
      <w:r w:rsidRPr="00670221">
        <w:rPr>
          <w:lang w:val="en-US"/>
        </w:rPr>
        <w:t xml:space="preserve">lectrolysis and </w:t>
      </w:r>
      <w:r w:rsidR="00563789">
        <w:rPr>
          <w:lang w:val="en-US"/>
        </w:rPr>
        <w:t>s</w:t>
      </w:r>
      <w:r w:rsidRPr="00670221">
        <w:rPr>
          <w:lang w:val="en-US"/>
        </w:rPr>
        <w:t xml:space="preserve">olid </w:t>
      </w:r>
      <w:r w:rsidR="00563789">
        <w:rPr>
          <w:lang w:val="en-US"/>
        </w:rPr>
        <w:t>o</w:t>
      </w:r>
      <w:r w:rsidRPr="00670221">
        <w:rPr>
          <w:lang w:val="en-US"/>
        </w:rPr>
        <w:t xml:space="preserve">xide </w:t>
      </w:r>
      <w:r w:rsidR="00563789">
        <w:rPr>
          <w:lang w:val="en-US"/>
        </w:rPr>
        <w:t>e</w:t>
      </w:r>
      <w:r w:rsidRPr="00670221">
        <w:rPr>
          <w:lang w:val="en-US"/>
        </w:rPr>
        <w:t>lectrolysis. PEM</w:t>
      </w:r>
      <w:r w:rsidR="00563789">
        <w:rPr>
          <w:lang w:val="en-US"/>
        </w:rPr>
        <w:t xml:space="preserve"> electrolysis</w:t>
      </w:r>
      <w:r w:rsidRPr="00670221">
        <w:rPr>
          <w:lang w:val="en-US"/>
        </w:rPr>
        <w:t xml:space="preserve"> is favored for its efficiency and compatibility with intermittent renewables, making it ideal for integration with wind and solar power. SOE, especially in co-electrolysis, is underexplored but could offer advantages by directly converting water and CO₂ into syngas, which is processed via Fischer-</w:t>
      </w:r>
      <w:proofErr w:type="spellStart"/>
      <w:r w:rsidRPr="00670221">
        <w:rPr>
          <w:lang w:val="en-US"/>
        </w:rPr>
        <w:t>Tropsch</w:t>
      </w:r>
      <w:proofErr w:type="spellEnd"/>
      <w:r w:rsidRPr="00670221">
        <w:rPr>
          <w:lang w:val="en-US"/>
        </w:rPr>
        <w:t xml:space="preserve"> synthesis</w:t>
      </w:r>
      <w:r w:rsidR="00E4064F">
        <w:rPr>
          <w:lang w:val="en-US"/>
        </w:rPr>
        <w:t xml:space="preserve">. </w:t>
      </w:r>
      <w:r w:rsidR="00E4064F" w:rsidRPr="00E4064F">
        <w:rPr>
          <w:lang w:val="en-US"/>
        </w:rPr>
        <w:t>Exploring these technologies further aligns with expert views expressed during the webinar (Appendix F).</w:t>
      </w:r>
      <w:r w:rsidR="00E4064F">
        <w:rPr>
          <w:lang w:val="en-US"/>
        </w:rPr>
        <w:t xml:space="preserve"> </w:t>
      </w:r>
      <w:r w:rsidRPr="00670221">
        <w:rPr>
          <w:lang w:val="en-US"/>
        </w:rPr>
        <w:t xml:space="preserve">Methanol synthesis is excluded as it is not yet certified for sustainable aviation fuel. The TEA will compare DAC, fossil point source capture, and biogenic CO₂ for carbon sourcing, incorporating EU ETS carbon pricing. Biofuels, which follow a separate regulatory framework and have </w:t>
      </w:r>
      <w:r w:rsidR="002E1167" w:rsidRPr="00670221">
        <w:rPr>
          <w:lang w:val="en-US"/>
        </w:rPr>
        <w:t xml:space="preserve">much </w:t>
      </w:r>
      <w:r w:rsidRPr="00670221">
        <w:rPr>
          <w:lang w:val="en-US"/>
        </w:rPr>
        <w:t>lower costs, will not be included in the TEA for e-fuels</w:t>
      </w:r>
      <w:r w:rsidR="00837DFB" w:rsidRPr="00670221">
        <w:rPr>
          <w:lang w:val="en-US"/>
        </w:rPr>
        <w:t xml:space="preserve"> because of this. </w:t>
      </w:r>
    </w:p>
    <w:p w14:paraId="3969BA2B" w14:textId="77777777" w:rsidR="00BA5A11" w:rsidRPr="00670221" w:rsidRDefault="00BA5A11" w:rsidP="00691C6C">
      <w:pPr>
        <w:rPr>
          <w:lang w:val="en-US"/>
        </w:rPr>
      </w:pPr>
    </w:p>
    <w:p w14:paraId="3CCDCD6E" w14:textId="1C1CA7C4" w:rsidR="00983664" w:rsidRPr="00670221" w:rsidRDefault="001B276A" w:rsidP="00C336B0">
      <w:pPr>
        <w:pStyle w:val="Heading3"/>
      </w:pPr>
      <w:bookmarkStart w:id="77" w:name="_Toc184403446"/>
      <w:r w:rsidRPr="00670221">
        <w:t>Non</w:t>
      </w:r>
      <w:r w:rsidR="00C26034" w:rsidRPr="00670221">
        <w:t>-</w:t>
      </w:r>
      <w:r w:rsidRPr="00670221">
        <w:t xml:space="preserve">technological </w:t>
      </w:r>
      <w:r w:rsidR="00C26034" w:rsidRPr="00670221">
        <w:t>C</w:t>
      </w:r>
      <w:r w:rsidRPr="00670221">
        <w:t>riteria</w:t>
      </w:r>
      <w:bookmarkEnd w:id="77"/>
    </w:p>
    <w:p w14:paraId="3ABE1E29" w14:textId="39F355DC" w:rsidR="00C16406" w:rsidRPr="00670221" w:rsidRDefault="00941154" w:rsidP="00C16406">
      <w:pPr>
        <w:rPr>
          <w:lang w:val="en-US"/>
        </w:rPr>
      </w:pPr>
      <w:r>
        <w:rPr>
          <w:lang w:val="en-US"/>
        </w:rPr>
        <w:t>Supported by the webinars, t</w:t>
      </w:r>
      <w:r w:rsidR="00C16406" w:rsidRPr="00670221">
        <w:rPr>
          <w:lang w:val="en-US"/>
        </w:rPr>
        <w:t xml:space="preserve">he actor and network analysis showed that bringing together Fuel Conversion Technology Providers, Knowledge Institutes, and Airlines is essential, as they are the most frequently involved stakeholders in current </w:t>
      </w:r>
      <w:proofErr w:type="spellStart"/>
      <w:r w:rsidR="00C16406" w:rsidRPr="00670221">
        <w:rPr>
          <w:lang w:val="en-US"/>
        </w:rPr>
        <w:t>eSAF</w:t>
      </w:r>
      <w:proofErr w:type="spellEnd"/>
      <w:r w:rsidR="00C16406" w:rsidRPr="00670221">
        <w:rPr>
          <w:lang w:val="en-US"/>
        </w:rPr>
        <w:t xml:space="preserve"> projects. Strong collaboration between Airlines, Energy Providers, Feedstock Suppliers, and Infrastructure Providers is key to ensuring the success of </w:t>
      </w:r>
      <w:proofErr w:type="spellStart"/>
      <w:r w:rsidR="00C16406" w:rsidRPr="00670221">
        <w:rPr>
          <w:lang w:val="en-US"/>
        </w:rPr>
        <w:t>eSAF</w:t>
      </w:r>
      <w:proofErr w:type="spellEnd"/>
      <w:r w:rsidR="00C16406" w:rsidRPr="00670221">
        <w:rPr>
          <w:lang w:val="en-US"/>
        </w:rPr>
        <w:t xml:space="preserve"> production, given the complexity of the supply chain.</w:t>
      </w:r>
    </w:p>
    <w:p w14:paraId="7F0F5E0F" w14:textId="5CEF7250" w:rsidR="00C16406" w:rsidRPr="00670221" w:rsidRDefault="00C16406" w:rsidP="00C16406">
      <w:pPr>
        <w:rPr>
          <w:lang w:val="en-US"/>
        </w:rPr>
      </w:pPr>
      <w:r w:rsidRPr="00670221">
        <w:rPr>
          <w:lang w:val="en-US"/>
        </w:rPr>
        <w:t xml:space="preserve">The significant costs and economies of scale associated with establishing </w:t>
      </w:r>
      <w:proofErr w:type="spellStart"/>
      <w:r w:rsidRPr="00670221">
        <w:rPr>
          <w:lang w:val="en-US"/>
        </w:rPr>
        <w:t>eSAF</w:t>
      </w:r>
      <w:proofErr w:type="spellEnd"/>
      <w:r w:rsidRPr="00670221">
        <w:rPr>
          <w:lang w:val="en-US"/>
        </w:rPr>
        <w:t xml:space="preserve"> production facilities, combined with the small initial quantities of </w:t>
      </w:r>
      <w:proofErr w:type="spellStart"/>
      <w:r w:rsidRPr="00670221">
        <w:rPr>
          <w:lang w:val="en-US"/>
        </w:rPr>
        <w:t>eSAF</w:t>
      </w:r>
      <w:proofErr w:type="spellEnd"/>
      <w:r w:rsidRPr="00670221">
        <w:rPr>
          <w:lang w:val="en-US"/>
        </w:rPr>
        <w:t xml:space="preserve"> needed by airlines and narrow profit margins, emphasize the importance of collective investments. This is where the International Air Transport Association could play a crucial role. By representing airlines and promoting operational efficiency, safety, and sustainability, IATA could facilitate these joint investments in new </w:t>
      </w:r>
      <w:proofErr w:type="spellStart"/>
      <w:r w:rsidRPr="00670221">
        <w:rPr>
          <w:lang w:val="en-US"/>
        </w:rPr>
        <w:t>eSAF</w:t>
      </w:r>
      <w:proofErr w:type="spellEnd"/>
      <w:r w:rsidRPr="00670221">
        <w:rPr>
          <w:lang w:val="en-US"/>
        </w:rPr>
        <w:t xml:space="preserve"> production sites, particularly in EU member states that have specific </w:t>
      </w:r>
      <w:proofErr w:type="spellStart"/>
      <w:r w:rsidRPr="00670221">
        <w:rPr>
          <w:lang w:val="en-US"/>
        </w:rPr>
        <w:t>eSAF</w:t>
      </w:r>
      <w:proofErr w:type="spellEnd"/>
      <w:r w:rsidRPr="00670221">
        <w:rPr>
          <w:lang w:val="en-US"/>
        </w:rPr>
        <w:t xml:space="preserve"> regulations in place.</w:t>
      </w:r>
    </w:p>
    <w:p w14:paraId="5ADC478A" w14:textId="77777777" w:rsidR="00632E5B" w:rsidRPr="00670221" w:rsidRDefault="00632E5B" w:rsidP="00691C6C">
      <w:pPr>
        <w:rPr>
          <w:lang w:val="en-US"/>
        </w:rPr>
      </w:pPr>
      <w:r w:rsidRPr="00670221">
        <w:rPr>
          <w:lang w:val="en-US"/>
        </w:rPr>
        <w:t xml:space="preserve">Strategically, </w:t>
      </w:r>
      <w:proofErr w:type="spellStart"/>
      <w:r w:rsidRPr="00670221">
        <w:rPr>
          <w:lang w:val="en-US"/>
        </w:rPr>
        <w:t>eSAF</w:t>
      </w:r>
      <w:proofErr w:type="spellEnd"/>
      <w:r w:rsidRPr="00670221">
        <w:rPr>
          <w:lang w:val="en-US"/>
        </w:rPr>
        <w:t xml:space="preserve"> production sites should prioritize proximity to fueling infrastructure and regions with abundant renewable energy resources, as long-distance electricity transport is inefficient, and grid congestion poses significant challenges. Ideally, these sites would be situated in sparsely populated areas with limited alternative uses for renewable energy, ensuring both optimal availability and minimal competition. For short-term implementation, regions like Iceland or Norway, with their renewable-heavy grids, address intermittency challenges by offering stable energy supplies, albeit at higher costs. In the long term, coupling </w:t>
      </w:r>
      <w:proofErr w:type="spellStart"/>
      <w:r w:rsidRPr="00670221">
        <w:rPr>
          <w:lang w:val="en-US"/>
        </w:rPr>
        <w:t>eSAF</w:t>
      </w:r>
      <w:proofErr w:type="spellEnd"/>
      <w:r w:rsidRPr="00670221">
        <w:rPr>
          <w:lang w:val="en-US"/>
        </w:rPr>
        <w:t xml:space="preserve"> production with new nuclear capacity should be explored to provide a dependable and low-carbon energy source. Furthermore, selecting locations without alternative carbon sources bolsters the case for DAC by eliminating reliance on inadequate carbon infrastructure and enabling streamlined on-site CO₂ capture for </w:t>
      </w:r>
      <w:proofErr w:type="spellStart"/>
      <w:r w:rsidRPr="00670221">
        <w:rPr>
          <w:lang w:val="en-US"/>
        </w:rPr>
        <w:t>eSAF</w:t>
      </w:r>
      <w:proofErr w:type="spellEnd"/>
      <w:r w:rsidRPr="00670221">
        <w:rPr>
          <w:lang w:val="en-US"/>
        </w:rPr>
        <w:t xml:space="preserve"> production.</w:t>
      </w:r>
    </w:p>
    <w:p w14:paraId="2CF67DBC" w14:textId="06E6AF35" w:rsidR="00B53636" w:rsidRPr="00670221" w:rsidRDefault="00DC20AD" w:rsidP="00691C6C">
      <w:pPr>
        <w:rPr>
          <w:lang w:val="en-US"/>
        </w:rPr>
      </w:pPr>
      <w:r w:rsidRPr="00670221">
        <w:rPr>
          <w:lang w:val="en-US"/>
        </w:rPr>
        <w:t xml:space="preserve">Finally, one crucial criterion for DAC adoption is ensuring a level playing field with fossil-based carbon sources. The transitional use of fossil CO₂, regulated under the EU Emissions Trading System, imposes additional costs, which can be offset by free allowances. However, this creates a potential disadvantage for DAC if fossil alternatives continue receiving preferential </w:t>
      </w:r>
      <w:r w:rsidRPr="00670221">
        <w:rPr>
          <w:lang w:val="en-US"/>
        </w:rPr>
        <w:lastRenderedPageBreak/>
        <w:t xml:space="preserve">treatment through free ETS credits. Phasing out these credits in a timely manner is essential to ensure fair competition between DAC and fossil alternatives in the </w:t>
      </w:r>
      <w:proofErr w:type="spellStart"/>
      <w:r w:rsidRPr="00670221">
        <w:rPr>
          <w:lang w:val="en-US"/>
        </w:rPr>
        <w:t>eSAF</w:t>
      </w:r>
      <w:proofErr w:type="spellEnd"/>
      <w:r w:rsidRPr="00670221">
        <w:rPr>
          <w:lang w:val="en-US"/>
        </w:rPr>
        <w:t xml:space="preserve"> production landscape.</w:t>
      </w:r>
      <w:r w:rsidR="003A2B99" w:rsidRPr="00670221">
        <w:rPr>
          <w:lang w:val="en-US"/>
        </w:rPr>
        <w:br w:type="page"/>
      </w:r>
    </w:p>
    <w:p w14:paraId="560B70E9" w14:textId="10D9FF8C" w:rsidR="00845E92" w:rsidRPr="00670221" w:rsidRDefault="00A8333D" w:rsidP="00723F4B">
      <w:pPr>
        <w:pStyle w:val="Heading1"/>
      </w:pPr>
      <w:bookmarkStart w:id="78" w:name="_Toc184403447"/>
      <w:r w:rsidRPr="00670221">
        <w:lastRenderedPageBreak/>
        <w:t xml:space="preserve">Results </w:t>
      </w:r>
      <w:r w:rsidR="00487851" w:rsidRPr="00670221">
        <w:t>Techno-</w:t>
      </w:r>
      <w:r w:rsidR="00DA3577" w:rsidRPr="00670221">
        <w:t>E</w:t>
      </w:r>
      <w:r w:rsidR="00487851" w:rsidRPr="00670221">
        <w:t>conomic Analysis</w:t>
      </w:r>
      <w:bookmarkEnd w:id="78"/>
    </w:p>
    <w:p w14:paraId="509E01A2" w14:textId="77777777" w:rsidR="008C40BD" w:rsidRPr="00670221" w:rsidRDefault="008C40BD" w:rsidP="000A5700">
      <w:pPr>
        <w:rPr>
          <w:lang w:val="en-US"/>
        </w:rPr>
      </w:pPr>
    </w:p>
    <w:p w14:paraId="403E6F97" w14:textId="65481A89" w:rsidR="000A5700" w:rsidRPr="00670221" w:rsidRDefault="000A5700" w:rsidP="000A5700">
      <w:pPr>
        <w:rPr>
          <w:lang w:val="en-US"/>
        </w:rPr>
      </w:pPr>
      <w:r w:rsidRPr="00670221">
        <w:rPr>
          <w:lang w:val="en-US"/>
        </w:rPr>
        <w:t xml:space="preserve">Chapter </w:t>
      </w:r>
      <w:r w:rsidR="003A2B99" w:rsidRPr="00670221">
        <w:rPr>
          <w:lang w:val="en-US"/>
        </w:rPr>
        <w:t>4</w:t>
      </w:r>
      <w:r w:rsidRPr="00670221">
        <w:rPr>
          <w:lang w:val="en-US"/>
        </w:rPr>
        <w:t xml:space="preserve"> introduces the core results of this thesis, addressing the second and third sub-questions that aim to evaluate the techno-economic performance of competing </w:t>
      </w:r>
      <w:proofErr w:type="spellStart"/>
      <w:r w:rsidRPr="00670221">
        <w:rPr>
          <w:lang w:val="en-US"/>
        </w:rPr>
        <w:t>eSAF</w:t>
      </w:r>
      <w:proofErr w:type="spellEnd"/>
      <w:r w:rsidRPr="00670221">
        <w:rPr>
          <w:lang w:val="en-US"/>
        </w:rPr>
        <w:t xml:space="preserve"> value chains. Sub-question 2 focuses on comparing the key </w:t>
      </w:r>
      <w:r w:rsidR="00CC215E" w:rsidRPr="00670221">
        <w:rPr>
          <w:lang w:val="en-US"/>
        </w:rPr>
        <w:t>technologies identified in the socio-technical analysis</w:t>
      </w:r>
      <w:r w:rsidRPr="00670221">
        <w:rPr>
          <w:lang w:val="en-US"/>
        </w:rPr>
        <w:t>: "</w:t>
      </w:r>
      <w:r w:rsidR="004B1091" w:rsidRPr="00670221">
        <w:rPr>
          <w:lang w:val="en-US"/>
        </w:rPr>
        <w:t xml:space="preserve"> </w:t>
      </w:r>
      <w:r w:rsidR="00663D25" w:rsidRPr="00670221">
        <w:rPr>
          <w:b/>
          <w:bCs/>
          <w:lang w:val="en-US"/>
        </w:rPr>
        <w:t>How do the identified technologies perform in their overall costs?</w:t>
      </w:r>
      <w:r w:rsidRPr="00670221">
        <w:rPr>
          <w:lang w:val="en-US"/>
        </w:rPr>
        <w:t xml:space="preserve">". Sub-question 3 delves deeper into identifying </w:t>
      </w:r>
      <w:r w:rsidR="00207955" w:rsidRPr="00670221">
        <w:rPr>
          <w:lang w:val="en-US"/>
        </w:rPr>
        <w:t>what</w:t>
      </w:r>
      <w:r w:rsidRPr="00670221">
        <w:rPr>
          <w:lang w:val="en-US"/>
        </w:rPr>
        <w:t xml:space="preserve"> impact</w:t>
      </w:r>
      <w:r w:rsidR="00207955" w:rsidRPr="00670221">
        <w:rPr>
          <w:lang w:val="en-US"/>
        </w:rPr>
        <w:t>s</w:t>
      </w:r>
      <w:r w:rsidRPr="00670221">
        <w:rPr>
          <w:lang w:val="en-US"/>
        </w:rPr>
        <w:t xml:space="preserve"> this performance: "</w:t>
      </w:r>
      <w:r w:rsidR="000771DA" w:rsidRPr="00670221">
        <w:rPr>
          <w:lang w:val="en-US"/>
        </w:rPr>
        <w:t xml:space="preserve"> </w:t>
      </w:r>
      <w:r w:rsidR="004F7D4B" w:rsidRPr="00670221">
        <w:rPr>
          <w:b/>
          <w:bCs/>
          <w:lang w:val="en-US"/>
        </w:rPr>
        <w:t>What are the key cost drivers within the identified SAF technology, and how do these components evolve over time</w:t>
      </w:r>
      <w:r w:rsidR="000771DA" w:rsidRPr="00670221">
        <w:rPr>
          <w:b/>
          <w:bCs/>
          <w:lang w:val="en-US"/>
        </w:rPr>
        <w:t>?</w:t>
      </w:r>
      <w:r w:rsidRPr="00670221">
        <w:rPr>
          <w:lang w:val="en-US"/>
        </w:rPr>
        <w:t>".</w:t>
      </w:r>
      <w:r w:rsidRPr="00670221">
        <w:rPr>
          <w:b/>
          <w:bCs/>
          <w:lang w:val="en-US"/>
        </w:rPr>
        <w:t xml:space="preserve"> </w:t>
      </w:r>
      <w:r w:rsidRPr="00670221">
        <w:rPr>
          <w:lang w:val="en-US"/>
        </w:rPr>
        <w:t xml:space="preserve">The goal is to evaluate which </w:t>
      </w:r>
      <w:r w:rsidR="00E54CB6" w:rsidRPr="00670221">
        <w:rPr>
          <w:lang w:val="en-US"/>
        </w:rPr>
        <w:t>technology</w:t>
      </w:r>
      <w:r w:rsidRPr="00670221">
        <w:rPr>
          <w:lang w:val="en-US"/>
        </w:rPr>
        <w:t xml:space="preserve"> offer the most </w:t>
      </w:r>
      <w:r w:rsidR="00E54CB6" w:rsidRPr="00670221">
        <w:rPr>
          <w:lang w:val="en-US"/>
        </w:rPr>
        <w:t xml:space="preserve">economical </w:t>
      </w:r>
      <w:r w:rsidRPr="00670221">
        <w:rPr>
          <w:lang w:val="en-US"/>
        </w:rPr>
        <w:t>potential and identify key factors driving cost and feasibility.</w:t>
      </w:r>
    </w:p>
    <w:p w14:paraId="1EF9D0F6" w14:textId="07BED53D" w:rsidR="00FF7B9D" w:rsidRDefault="00FF7B9D" w:rsidP="00845E92">
      <w:pPr>
        <w:rPr>
          <w:lang w:val="en-US"/>
        </w:rPr>
      </w:pPr>
      <w:r w:rsidRPr="00670221">
        <w:rPr>
          <w:lang w:val="en-US"/>
        </w:rPr>
        <w:t xml:space="preserve">This chapter is structured as follows: Section 4.1 outlines the model framework and key assumptions, explaining the input choices and validation process for the analysis. Section 4.2 presents the results of the technology comparison, addressing sub-question 2. Section 4.3 examines the impact of specific components on techno-economic performance, directly addressing sub-question 3. Finally, Section 4.4 </w:t>
      </w:r>
      <w:r w:rsidR="005E18DE">
        <w:rPr>
          <w:lang w:val="en-US"/>
        </w:rPr>
        <w:t>finalizes the TEA</w:t>
      </w:r>
      <w:r w:rsidRPr="00670221">
        <w:rPr>
          <w:lang w:val="en-US"/>
        </w:rPr>
        <w:t xml:space="preserve"> with a sensitivity analysis, assessing the robustness of the results under varying </w:t>
      </w:r>
      <w:r w:rsidR="00802DAF" w:rsidRPr="00670221">
        <w:rPr>
          <w:lang w:val="en-US"/>
        </w:rPr>
        <w:t>model conditions</w:t>
      </w:r>
      <w:r w:rsidR="005E18DE">
        <w:rPr>
          <w:lang w:val="en-US"/>
        </w:rPr>
        <w:t xml:space="preserve">, </w:t>
      </w:r>
      <w:r w:rsidR="00951FC6" w:rsidRPr="00951FC6">
        <w:rPr>
          <w:lang w:val="en-US"/>
        </w:rPr>
        <w:t>followed by Section 4.5, which provided a wrap-up of the chapter.</w:t>
      </w:r>
    </w:p>
    <w:p w14:paraId="2D74BA18" w14:textId="77777777" w:rsidR="00951FC6" w:rsidRPr="00670221" w:rsidRDefault="00951FC6" w:rsidP="00845E92">
      <w:pPr>
        <w:rPr>
          <w:lang w:val="en-US"/>
        </w:rPr>
      </w:pPr>
    </w:p>
    <w:p w14:paraId="573D820D" w14:textId="203F3504" w:rsidR="00457A61" w:rsidRPr="00670221" w:rsidRDefault="00457A61" w:rsidP="000A5700">
      <w:pPr>
        <w:pStyle w:val="Heading2"/>
      </w:pPr>
      <w:bookmarkStart w:id="79" w:name="_Toc184403448"/>
      <w:r w:rsidRPr="00670221">
        <w:t xml:space="preserve">Model </w:t>
      </w:r>
      <w:r w:rsidR="00C95C38" w:rsidRPr="00670221">
        <w:t>F</w:t>
      </w:r>
      <w:r w:rsidR="000A5700" w:rsidRPr="00670221">
        <w:t>ramework and Assumption</w:t>
      </w:r>
      <w:r w:rsidR="00F94CE8" w:rsidRPr="00670221">
        <w:t>s</w:t>
      </w:r>
      <w:bookmarkEnd w:id="79"/>
    </w:p>
    <w:p w14:paraId="2D416440" w14:textId="35CE6270" w:rsidR="00723F4B" w:rsidRPr="00670221" w:rsidRDefault="00723F4B" w:rsidP="00F94CE8">
      <w:pPr>
        <w:pStyle w:val="Heading3"/>
      </w:pPr>
      <w:bookmarkStart w:id="80" w:name="_Toc184403449"/>
      <w:r w:rsidRPr="00670221">
        <w:t xml:space="preserve">CAPEX </w:t>
      </w:r>
      <w:r w:rsidR="008F54AE" w:rsidRPr="00670221">
        <w:t>D</w:t>
      </w:r>
      <w:r w:rsidRPr="00670221">
        <w:t xml:space="preserve">egression </w:t>
      </w:r>
      <w:r w:rsidR="008F54AE" w:rsidRPr="00670221">
        <w:t>C</w:t>
      </w:r>
      <w:r w:rsidRPr="00670221">
        <w:t>urve</w:t>
      </w:r>
      <w:r w:rsidR="008173DD" w:rsidRPr="00670221">
        <w:t>,</w:t>
      </w:r>
      <w:r w:rsidR="001A278D" w:rsidRPr="00670221">
        <w:t xml:space="preserve"> Efficiencies</w:t>
      </w:r>
      <w:r w:rsidR="008173DD" w:rsidRPr="00670221">
        <w:t xml:space="preserve"> and Energy Requirements</w:t>
      </w:r>
      <w:bookmarkEnd w:id="80"/>
    </w:p>
    <w:p w14:paraId="6C99F4F0" w14:textId="77777777" w:rsidR="00C7408C" w:rsidRPr="00670221" w:rsidRDefault="00C7408C" w:rsidP="00C7408C">
      <w:pPr>
        <w:pStyle w:val="Heading4"/>
        <w:rPr>
          <w:lang w:val="en-US"/>
        </w:rPr>
      </w:pPr>
      <w:r w:rsidRPr="00670221">
        <w:rPr>
          <w:lang w:val="en-US"/>
        </w:rPr>
        <w:t>Direct Air Capture</w:t>
      </w:r>
    </w:p>
    <w:p w14:paraId="653B9EA5" w14:textId="17B45B15" w:rsidR="00BB174B" w:rsidRPr="00670221" w:rsidRDefault="00BB174B" w:rsidP="005D30C9">
      <w:pPr>
        <w:rPr>
          <w:lang w:val="en-US"/>
        </w:rPr>
      </w:pPr>
      <w:r w:rsidRPr="00670221">
        <w:rPr>
          <w:lang w:val="en-US"/>
        </w:rPr>
        <w:t>For DAC, internal company performance and cost data (EUR/ton) from previous years, current operations, and planned upgrades over the next four years were used in</w:t>
      </w:r>
      <w:r w:rsidR="00006CBD" w:rsidRPr="00670221">
        <w:rPr>
          <w:lang w:val="en-US"/>
        </w:rPr>
        <w:t xml:space="preserve">stead </w:t>
      </w:r>
      <w:r w:rsidRPr="00670221">
        <w:rPr>
          <w:lang w:val="en-US"/>
        </w:rPr>
        <w:t xml:space="preserve">of literature values to shape the </w:t>
      </w:r>
      <w:r w:rsidR="00FE768F" w:rsidRPr="00670221">
        <w:rPr>
          <w:lang w:val="en-US"/>
        </w:rPr>
        <w:t xml:space="preserve">CAPEX degression </w:t>
      </w:r>
      <w:r w:rsidRPr="00670221">
        <w:rPr>
          <w:lang w:val="en-US"/>
        </w:rPr>
        <w:t>curve</w:t>
      </w:r>
      <w:r w:rsidR="00E873A7" w:rsidRPr="00670221">
        <w:rPr>
          <w:lang w:val="en-US"/>
        </w:rPr>
        <w:t xml:space="preserve">. </w:t>
      </w:r>
      <w:r w:rsidRPr="00670221">
        <w:rPr>
          <w:lang w:val="en-US"/>
        </w:rPr>
        <w:t xml:space="preserve">These company-specific data were integrated as hard constraints into the Solver model. The 2050 </w:t>
      </w:r>
      <w:r w:rsidR="007E37D2" w:rsidRPr="00670221">
        <w:rPr>
          <w:lang w:val="en-US"/>
        </w:rPr>
        <w:t xml:space="preserve">price </w:t>
      </w:r>
      <w:r w:rsidRPr="00670221">
        <w:rPr>
          <w:lang w:val="en-US"/>
        </w:rPr>
        <w:t xml:space="preserve">endpoint, however, was </w:t>
      </w:r>
      <w:r w:rsidR="00485ACA" w:rsidRPr="00670221">
        <w:rPr>
          <w:lang w:val="en-US"/>
        </w:rPr>
        <w:t>averaged</w:t>
      </w:r>
      <w:r w:rsidRPr="00670221">
        <w:rPr>
          <w:lang w:val="en-US"/>
        </w:rPr>
        <w:t xml:space="preserve"> from literature, as Skytree does not project costs or performance for its technology beyond 2028.</w:t>
      </w:r>
      <w:r w:rsidR="00CF7787" w:rsidRPr="00670221">
        <w:rPr>
          <w:lang w:val="en-US"/>
        </w:rPr>
        <w:t xml:space="preserve"> The CAPEX curve is depicted by the orange line in figure 4.1. </w:t>
      </w:r>
    </w:p>
    <w:p w14:paraId="5391A989" w14:textId="77777777" w:rsidR="00CF7787" w:rsidRPr="00670221" w:rsidRDefault="00FB1E43" w:rsidP="00CF7787">
      <w:pPr>
        <w:keepNext/>
        <w:jc w:val="center"/>
        <w:rPr>
          <w:lang w:val="en-US"/>
        </w:rPr>
      </w:pPr>
      <w:r w:rsidRPr="00670221">
        <w:rPr>
          <w:noProof/>
          <w:lang w:val="en-US"/>
        </w:rPr>
        <w:lastRenderedPageBreak/>
        <w:drawing>
          <wp:inline distT="0" distB="0" distL="0" distR="0" wp14:anchorId="66A94E5E" wp14:editId="08305EF1">
            <wp:extent cx="5400000" cy="2880000"/>
            <wp:effectExtent l="0" t="0" r="0" b="3175"/>
            <wp:docPr id="1099841302" name="Picture 1" descr="A graph showing the amount of energy consump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841302" name="Picture 1" descr="A graph showing the amount of energy consumption&#10;&#10;Description automatically generated"/>
                    <pic:cNvPicPr/>
                  </pic:nvPicPr>
                  <pic:blipFill>
                    <a:blip r:embed="rId37"/>
                    <a:stretch>
                      <a:fillRect/>
                    </a:stretch>
                  </pic:blipFill>
                  <pic:spPr>
                    <a:xfrm>
                      <a:off x="0" y="0"/>
                      <a:ext cx="5400000" cy="2880000"/>
                    </a:xfrm>
                    <a:prstGeom prst="rect">
                      <a:avLst/>
                    </a:prstGeom>
                  </pic:spPr>
                </pic:pic>
              </a:graphicData>
            </a:graphic>
          </wp:inline>
        </w:drawing>
      </w:r>
    </w:p>
    <w:p w14:paraId="3673690C" w14:textId="014FDD11" w:rsidR="00CF7787" w:rsidRPr="00670221" w:rsidRDefault="00CF7787" w:rsidP="0089624C">
      <w:pPr>
        <w:pStyle w:val="Caption"/>
        <w:rPr>
          <w:lang w:val="en-US"/>
        </w:rPr>
      </w:pPr>
      <w:bookmarkStart w:id="81" w:name="_Toc184403555"/>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w:t>
      </w:r>
      <w:r w:rsidR="002A3EA2" w:rsidRPr="00670221">
        <w:rPr>
          <w:lang w:val="en-US"/>
        </w:rPr>
        <w:fldChar w:fldCharType="end"/>
      </w:r>
      <w:r w:rsidRPr="00670221">
        <w:rPr>
          <w:lang w:val="en-US"/>
        </w:rPr>
        <w:t>: CAPEX and energy requirement curve for DAC from 2024 to 2050</w:t>
      </w:r>
      <w:bookmarkEnd w:id="81"/>
    </w:p>
    <w:p w14:paraId="41FF0AB1" w14:textId="63257483" w:rsidR="0062185A" w:rsidRPr="00670221" w:rsidRDefault="0062185A" w:rsidP="0062185A">
      <w:pPr>
        <w:rPr>
          <w:lang w:val="en-US"/>
        </w:rPr>
      </w:pPr>
      <w:r w:rsidRPr="00670221">
        <w:rPr>
          <w:lang w:val="en-US"/>
        </w:rPr>
        <w:t xml:space="preserve">Like the approach taken for CAPEX calculations, the energy consumption of </w:t>
      </w:r>
      <w:r w:rsidR="008F5637" w:rsidRPr="00670221">
        <w:rPr>
          <w:lang w:val="en-US"/>
        </w:rPr>
        <w:t>d</w:t>
      </w:r>
      <w:r w:rsidRPr="00670221">
        <w:rPr>
          <w:lang w:val="en-US"/>
        </w:rPr>
        <w:t xml:space="preserve">irect </w:t>
      </w:r>
      <w:r w:rsidR="007E7ADB" w:rsidRPr="00670221">
        <w:rPr>
          <w:lang w:val="en-US"/>
        </w:rPr>
        <w:t>a</w:t>
      </w:r>
      <w:r w:rsidRPr="00670221">
        <w:rPr>
          <w:lang w:val="en-US"/>
        </w:rPr>
        <w:t xml:space="preserve">ir </w:t>
      </w:r>
      <w:r w:rsidR="007E7ADB" w:rsidRPr="00670221">
        <w:rPr>
          <w:lang w:val="en-US"/>
        </w:rPr>
        <w:t>c</w:t>
      </w:r>
      <w:r w:rsidRPr="00670221">
        <w:rPr>
          <w:lang w:val="en-US"/>
        </w:rPr>
        <w:t>apture was modeled using a degression curve. This curve captures the non-linear decrease in energy consumption, as observed in Skytree’s data, and provided a better fit for representing expected energy reductions over time. Additional constraints were applied using Excel Solver to align the model with Skytree’s projected technology upgrades.</w:t>
      </w:r>
    </w:p>
    <w:p w14:paraId="35E1F8F9" w14:textId="597BB19D" w:rsidR="00F6162F" w:rsidRPr="00670221" w:rsidRDefault="00C323E9" w:rsidP="00DF3BFB">
      <w:pPr>
        <w:rPr>
          <w:lang w:val="en-US"/>
        </w:rPr>
      </w:pPr>
      <w:r w:rsidRPr="00670221">
        <w:rPr>
          <w:lang w:val="en-US"/>
        </w:rPr>
        <w:t xml:space="preserve">The total energy consumption for DAC was split into thermal and electrical components, reflecting the different energy sources involved. While data for thermal and electrical energy requirements up to 2028 were provided by Skytree, future energy consumption up to 2050 was </w:t>
      </w:r>
      <w:r w:rsidR="00A1663F" w:rsidRPr="00670221">
        <w:rPr>
          <w:lang w:val="en-US"/>
        </w:rPr>
        <w:t xml:space="preserve">conservatively </w:t>
      </w:r>
      <w:r w:rsidR="00F371B2" w:rsidRPr="00670221">
        <w:rPr>
          <w:lang w:val="en-US"/>
        </w:rPr>
        <w:t>assumed</w:t>
      </w:r>
      <w:r w:rsidRPr="00670221">
        <w:rPr>
          <w:lang w:val="en-US"/>
        </w:rPr>
        <w:t xml:space="preserve"> to approach a total of 1 kWh/kg CO₂, with 0.5 kWh/kg CO₂</w:t>
      </w:r>
      <w:r w:rsidR="0011615B" w:rsidRPr="00670221">
        <w:rPr>
          <w:lang w:val="en-US"/>
        </w:rPr>
        <w:t xml:space="preserve"> </w:t>
      </w:r>
      <w:r w:rsidR="00DF3BFB" w:rsidRPr="00670221">
        <w:rPr>
          <w:lang w:val="en-US"/>
        </w:rPr>
        <w:t>to be supplied by thermal energy.</w:t>
      </w:r>
      <w:r w:rsidR="00147827" w:rsidRPr="00670221">
        <w:rPr>
          <w:lang w:val="en-US"/>
        </w:rPr>
        <w:t xml:space="preserve"> </w:t>
      </w:r>
      <w:r w:rsidR="00EA6412" w:rsidRPr="00670221">
        <w:rPr>
          <w:lang w:val="en-US"/>
        </w:rPr>
        <w:t>This estimate is based on the minimal energy requirements for DAC outlined in the methodology</w:t>
      </w:r>
      <w:r w:rsidR="00B42000" w:rsidRPr="00670221">
        <w:rPr>
          <w:lang w:val="en-US"/>
        </w:rPr>
        <w:t>.</w:t>
      </w:r>
    </w:p>
    <w:tbl>
      <w:tblPr>
        <w:tblStyle w:val="TableGrid"/>
        <w:tblW w:w="5000" w:type="pct"/>
        <w:tblLook w:val="04A0" w:firstRow="1" w:lastRow="0" w:firstColumn="1" w:lastColumn="0" w:noHBand="0" w:noVBand="1"/>
      </w:tblPr>
      <w:tblGrid>
        <w:gridCol w:w="2254"/>
        <w:gridCol w:w="2254"/>
        <w:gridCol w:w="2254"/>
        <w:gridCol w:w="2254"/>
      </w:tblGrid>
      <w:tr w:rsidR="00A31B59" w:rsidRPr="00670221" w14:paraId="0851F7A8" w14:textId="77777777" w:rsidTr="00A31B59">
        <w:tc>
          <w:tcPr>
            <w:tcW w:w="1250" w:type="pct"/>
          </w:tcPr>
          <w:p w14:paraId="17212392" w14:textId="0798BF1D" w:rsidR="00A31B59" w:rsidRPr="00670221" w:rsidRDefault="00A31B59" w:rsidP="00DF3BFB">
            <w:pPr>
              <w:rPr>
                <w:b/>
                <w:bCs/>
                <w:sz w:val="20"/>
                <w:szCs w:val="20"/>
                <w:lang w:val="en-US"/>
              </w:rPr>
            </w:pPr>
            <w:r w:rsidRPr="00670221">
              <w:rPr>
                <w:b/>
                <w:bCs/>
                <w:sz w:val="20"/>
                <w:szCs w:val="20"/>
                <w:lang w:val="en-US"/>
              </w:rPr>
              <w:t>Process</w:t>
            </w:r>
          </w:p>
        </w:tc>
        <w:tc>
          <w:tcPr>
            <w:tcW w:w="1250" w:type="pct"/>
          </w:tcPr>
          <w:p w14:paraId="6D5E6417" w14:textId="31E650B2" w:rsidR="00A31B59" w:rsidRPr="00670221" w:rsidRDefault="00A31B59" w:rsidP="00DF3BFB">
            <w:pPr>
              <w:rPr>
                <w:b/>
                <w:bCs/>
                <w:sz w:val="20"/>
                <w:szCs w:val="20"/>
                <w:lang w:val="en-US"/>
              </w:rPr>
            </w:pPr>
            <w:r w:rsidRPr="00670221">
              <w:rPr>
                <w:b/>
                <w:bCs/>
                <w:sz w:val="20"/>
                <w:szCs w:val="20"/>
                <w:lang w:val="en-US"/>
              </w:rPr>
              <w:t>Minimum Value</w:t>
            </w:r>
          </w:p>
        </w:tc>
        <w:tc>
          <w:tcPr>
            <w:tcW w:w="1250" w:type="pct"/>
          </w:tcPr>
          <w:p w14:paraId="031F7458" w14:textId="2C132167" w:rsidR="00A31B59" w:rsidRPr="00670221" w:rsidRDefault="00A31B59" w:rsidP="00DF3BFB">
            <w:pPr>
              <w:rPr>
                <w:b/>
                <w:bCs/>
                <w:sz w:val="20"/>
                <w:szCs w:val="20"/>
                <w:lang w:val="en-US"/>
              </w:rPr>
            </w:pPr>
            <w:r w:rsidRPr="00670221">
              <w:rPr>
                <w:b/>
                <w:bCs/>
                <w:sz w:val="20"/>
                <w:szCs w:val="20"/>
                <w:lang w:val="en-US"/>
              </w:rPr>
              <w:t>Assumption</w:t>
            </w:r>
          </w:p>
        </w:tc>
        <w:tc>
          <w:tcPr>
            <w:tcW w:w="1250" w:type="pct"/>
          </w:tcPr>
          <w:p w14:paraId="5932AE34" w14:textId="498EB76C" w:rsidR="00A31B59" w:rsidRPr="00670221" w:rsidRDefault="00A31B59" w:rsidP="00DF3BFB">
            <w:pPr>
              <w:rPr>
                <w:b/>
                <w:bCs/>
                <w:sz w:val="20"/>
                <w:szCs w:val="20"/>
                <w:lang w:val="en-US"/>
              </w:rPr>
            </w:pPr>
            <w:r w:rsidRPr="00670221">
              <w:rPr>
                <w:b/>
                <w:bCs/>
                <w:sz w:val="20"/>
                <w:szCs w:val="20"/>
                <w:lang w:val="en-US"/>
              </w:rPr>
              <w:t>Unit</w:t>
            </w:r>
          </w:p>
        </w:tc>
      </w:tr>
      <w:tr w:rsidR="00A31B59" w:rsidRPr="00670221" w14:paraId="158DDACD" w14:textId="77777777" w:rsidTr="00A31B59">
        <w:tc>
          <w:tcPr>
            <w:tcW w:w="1250" w:type="pct"/>
          </w:tcPr>
          <w:p w14:paraId="4B9697AF" w14:textId="1586DD0D" w:rsidR="00A31B59" w:rsidRPr="00670221" w:rsidRDefault="00A31B59" w:rsidP="00DF3BFB">
            <w:pPr>
              <w:rPr>
                <w:sz w:val="20"/>
                <w:szCs w:val="20"/>
                <w:lang w:val="en-US"/>
              </w:rPr>
            </w:pPr>
            <w:r w:rsidRPr="00670221">
              <w:rPr>
                <w:sz w:val="20"/>
                <w:szCs w:val="20"/>
                <w:lang w:val="en-US"/>
              </w:rPr>
              <w:t>CO2 separation</w:t>
            </w:r>
          </w:p>
        </w:tc>
        <w:tc>
          <w:tcPr>
            <w:tcW w:w="1250" w:type="pct"/>
          </w:tcPr>
          <w:p w14:paraId="6B46027E" w14:textId="3871288C" w:rsidR="00A31B59" w:rsidRPr="00670221" w:rsidRDefault="00A31B59" w:rsidP="00DF3BFB">
            <w:pPr>
              <w:rPr>
                <w:sz w:val="20"/>
                <w:szCs w:val="20"/>
                <w:lang w:val="en-US"/>
              </w:rPr>
            </w:pPr>
            <w:r w:rsidRPr="00670221">
              <w:rPr>
                <w:sz w:val="20"/>
                <w:szCs w:val="20"/>
                <w:lang w:val="en-US"/>
              </w:rPr>
              <w:t>0.122</w:t>
            </w:r>
          </w:p>
        </w:tc>
        <w:tc>
          <w:tcPr>
            <w:tcW w:w="1250" w:type="pct"/>
          </w:tcPr>
          <w:p w14:paraId="42949405" w14:textId="77777777" w:rsidR="00A31B59" w:rsidRPr="00670221" w:rsidRDefault="00A31B59" w:rsidP="00DF3BFB">
            <w:pPr>
              <w:rPr>
                <w:sz w:val="20"/>
                <w:szCs w:val="20"/>
                <w:lang w:val="en-US"/>
              </w:rPr>
            </w:pPr>
          </w:p>
        </w:tc>
        <w:tc>
          <w:tcPr>
            <w:tcW w:w="1250" w:type="pct"/>
          </w:tcPr>
          <w:p w14:paraId="77DA8784" w14:textId="1008F466" w:rsidR="00A31B59" w:rsidRPr="00670221" w:rsidRDefault="00A31B59" w:rsidP="00DF3BFB">
            <w:pPr>
              <w:rPr>
                <w:sz w:val="20"/>
                <w:szCs w:val="20"/>
                <w:lang w:val="en-US"/>
              </w:rPr>
            </w:pPr>
            <w:r w:rsidRPr="00670221">
              <w:rPr>
                <w:sz w:val="20"/>
                <w:szCs w:val="20"/>
                <w:lang w:val="en-US"/>
              </w:rPr>
              <w:t>kWh/kg CO2 (electrical)</w:t>
            </w:r>
          </w:p>
        </w:tc>
      </w:tr>
      <w:tr w:rsidR="00A31B59" w:rsidRPr="00670221" w14:paraId="2974EA32" w14:textId="77777777" w:rsidTr="00A31B59">
        <w:tc>
          <w:tcPr>
            <w:tcW w:w="1250" w:type="pct"/>
          </w:tcPr>
          <w:p w14:paraId="7E0FAA15" w14:textId="72ABF65D" w:rsidR="00A31B59" w:rsidRPr="00670221" w:rsidRDefault="00A31B59" w:rsidP="00DF3BFB">
            <w:pPr>
              <w:rPr>
                <w:sz w:val="20"/>
                <w:szCs w:val="20"/>
                <w:lang w:val="en-US"/>
              </w:rPr>
            </w:pPr>
            <w:r w:rsidRPr="00670221">
              <w:rPr>
                <w:sz w:val="20"/>
                <w:szCs w:val="20"/>
                <w:lang w:val="en-US"/>
              </w:rPr>
              <w:t>Sorbent regeneration</w:t>
            </w:r>
          </w:p>
        </w:tc>
        <w:tc>
          <w:tcPr>
            <w:tcW w:w="1250" w:type="pct"/>
          </w:tcPr>
          <w:p w14:paraId="39FCF000" w14:textId="6AE6EF24" w:rsidR="00A31B59" w:rsidRPr="00670221" w:rsidRDefault="00A31B59" w:rsidP="00DF3BFB">
            <w:pPr>
              <w:rPr>
                <w:sz w:val="20"/>
                <w:szCs w:val="20"/>
                <w:lang w:val="en-US"/>
              </w:rPr>
            </w:pPr>
            <w:r w:rsidRPr="00670221">
              <w:rPr>
                <w:sz w:val="20"/>
                <w:szCs w:val="20"/>
                <w:lang w:val="en-US"/>
              </w:rPr>
              <w:t>0.536</w:t>
            </w:r>
          </w:p>
        </w:tc>
        <w:tc>
          <w:tcPr>
            <w:tcW w:w="1250" w:type="pct"/>
          </w:tcPr>
          <w:p w14:paraId="7BBAE32C" w14:textId="0EA4073C" w:rsidR="00A31B59" w:rsidRPr="00670221" w:rsidRDefault="00A31B59" w:rsidP="00DF3BFB">
            <w:pPr>
              <w:rPr>
                <w:sz w:val="20"/>
                <w:szCs w:val="20"/>
                <w:lang w:val="en-US"/>
              </w:rPr>
            </w:pPr>
            <w:r w:rsidRPr="00670221">
              <w:rPr>
                <w:sz w:val="20"/>
                <w:szCs w:val="20"/>
                <w:lang w:val="en-US"/>
              </w:rPr>
              <w:t>0.5</w:t>
            </w:r>
          </w:p>
        </w:tc>
        <w:tc>
          <w:tcPr>
            <w:tcW w:w="1250" w:type="pct"/>
          </w:tcPr>
          <w:p w14:paraId="378FF9F4" w14:textId="69083A8B" w:rsidR="00A31B59" w:rsidRPr="00670221" w:rsidRDefault="00A31B59" w:rsidP="00DF3BFB">
            <w:pPr>
              <w:rPr>
                <w:sz w:val="20"/>
                <w:szCs w:val="20"/>
                <w:lang w:val="en-US"/>
              </w:rPr>
            </w:pPr>
            <w:r w:rsidRPr="00670221">
              <w:rPr>
                <w:sz w:val="20"/>
                <w:szCs w:val="20"/>
                <w:lang w:val="en-US"/>
              </w:rPr>
              <w:t>kWh/kg CO2 (thermal)</w:t>
            </w:r>
          </w:p>
        </w:tc>
      </w:tr>
      <w:tr w:rsidR="00A31B59" w:rsidRPr="00670221" w14:paraId="67618CE1" w14:textId="77777777" w:rsidTr="00A31B59">
        <w:tc>
          <w:tcPr>
            <w:tcW w:w="1250" w:type="pct"/>
          </w:tcPr>
          <w:p w14:paraId="054950DE" w14:textId="49A79A15" w:rsidR="00A31B59" w:rsidRPr="00670221" w:rsidRDefault="00A31B59" w:rsidP="00DF3BFB">
            <w:pPr>
              <w:rPr>
                <w:sz w:val="20"/>
                <w:szCs w:val="20"/>
                <w:lang w:val="en-US"/>
              </w:rPr>
            </w:pPr>
            <w:r w:rsidRPr="00670221">
              <w:rPr>
                <w:sz w:val="20"/>
                <w:szCs w:val="20"/>
                <w:lang w:val="en-US"/>
              </w:rPr>
              <w:t>Air suction</w:t>
            </w:r>
          </w:p>
        </w:tc>
        <w:tc>
          <w:tcPr>
            <w:tcW w:w="1250" w:type="pct"/>
          </w:tcPr>
          <w:p w14:paraId="68AFF9D0" w14:textId="26BB4309" w:rsidR="00A31B59" w:rsidRPr="00670221" w:rsidRDefault="00A31B59" w:rsidP="00DF3BFB">
            <w:pPr>
              <w:rPr>
                <w:sz w:val="20"/>
                <w:szCs w:val="20"/>
                <w:lang w:val="en-US"/>
              </w:rPr>
            </w:pPr>
            <w:r w:rsidRPr="00670221">
              <w:rPr>
                <w:sz w:val="20"/>
                <w:szCs w:val="20"/>
                <w:lang w:val="en-US"/>
              </w:rPr>
              <w:t>0.136</w:t>
            </w:r>
          </w:p>
        </w:tc>
        <w:tc>
          <w:tcPr>
            <w:tcW w:w="1250" w:type="pct"/>
          </w:tcPr>
          <w:p w14:paraId="055B8B63" w14:textId="77777777" w:rsidR="00A31B59" w:rsidRPr="00670221" w:rsidRDefault="00A31B59" w:rsidP="00DF3BFB">
            <w:pPr>
              <w:rPr>
                <w:sz w:val="20"/>
                <w:szCs w:val="20"/>
                <w:lang w:val="en-US"/>
              </w:rPr>
            </w:pPr>
          </w:p>
        </w:tc>
        <w:tc>
          <w:tcPr>
            <w:tcW w:w="1250" w:type="pct"/>
          </w:tcPr>
          <w:p w14:paraId="420F7E00" w14:textId="3398BB70" w:rsidR="00A31B59" w:rsidRPr="00670221" w:rsidRDefault="00A31B59" w:rsidP="00DF3BFB">
            <w:pPr>
              <w:rPr>
                <w:sz w:val="20"/>
                <w:szCs w:val="20"/>
                <w:lang w:val="en-US"/>
              </w:rPr>
            </w:pPr>
            <w:r w:rsidRPr="00670221">
              <w:rPr>
                <w:sz w:val="20"/>
                <w:szCs w:val="20"/>
                <w:lang w:val="en-US"/>
              </w:rPr>
              <w:t>kWh/kg CO2 (electrical)</w:t>
            </w:r>
          </w:p>
        </w:tc>
      </w:tr>
      <w:tr w:rsidR="00A31B59" w:rsidRPr="00670221" w14:paraId="4FC275DE" w14:textId="77777777" w:rsidTr="00A31B59">
        <w:tc>
          <w:tcPr>
            <w:tcW w:w="1250" w:type="pct"/>
          </w:tcPr>
          <w:p w14:paraId="24668D80" w14:textId="0372DB86" w:rsidR="00A31B59" w:rsidRPr="00670221" w:rsidRDefault="00A31B59" w:rsidP="00DF3BFB">
            <w:pPr>
              <w:rPr>
                <w:b/>
                <w:bCs/>
                <w:sz w:val="20"/>
                <w:szCs w:val="20"/>
                <w:lang w:val="en-US"/>
              </w:rPr>
            </w:pPr>
            <w:r w:rsidRPr="00670221">
              <w:rPr>
                <w:b/>
                <w:bCs/>
                <w:sz w:val="20"/>
                <w:szCs w:val="20"/>
                <w:lang w:val="en-US"/>
              </w:rPr>
              <w:t>Total</w:t>
            </w:r>
          </w:p>
        </w:tc>
        <w:tc>
          <w:tcPr>
            <w:tcW w:w="1250" w:type="pct"/>
          </w:tcPr>
          <w:p w14:paraId="0D4F2159" w14:textId="2CBDFA39" w:rsidR="00A31B59" w:rsidRPr="00670221" w:rsidRDefault="00A31B59" w:rsidP="00DF3BFB">
            <w:pPr>
              <w:rPr>
                <w:sz w:val="20"/>
                <w:szCs w:val="20"/>
                <w:lang w:val="en-US"/>
              </w:rPr>
            </w:pPr>
            <w:r w:rsidRPr="00670221">
              <w:rPr>
                <w:sz w:val="20"/>
                <w:szCs w:val="20"/>
                <w:lang w:val="en-US"/>
              </w:rPr>
              <w:t>0.794</w:t>
            </w:r>
          </w:p>
        </w:tc>
        <w:tc>
          <w:tcPr>
            <w:tcW w:w="1250" w:type="pct"/>
          </w:tcPr>
          <w:p w14:paraId="547E72A7" w14:textId="45B64FCB" w:rsidR="00A31B59" w:rsidRPr="00670221" w:rsidRDefault="00A31B59" w:rsidP="00A1663F">
            <w:pPr>
              <w:keepNext/>
              <w:rPr>
                <w:sz w:val="20"/>
                <w:szCs w:val="20"/>
                <w:lang w:val="en-US"/>
              </w:rPr>
            </w:pPr>
            <w:r w:rsidRPr="00670221">
              <w:rPr>
                <w:sz w:val="20"/>
                <w:szCs w:val="20"/>
                <w:lang w:val="en-US"/>
              </w:rPr>
              <w:t>1</w:t>
            </w:r>
          </w:p>
        </w:tc>
        <w:tc>
          <w:tcPr>
            <w:tcW w:w="1250" w:type="pct"/>
          </w:tcPr>
          <w:p w14:paraId="2FBF0F80" w14:textId="327BDA9C" w:rsidR="00A31B59" w:rsidRPr="00670221" w:rsidRDefault="00A31B59" w:rsidP="00A1663F">
            <w:pPr>
              <w:keepNext/>
              <w:rPr>
                <w:sz w:val="20"/>
                <w:szCs w:val="20"/>
                <w:lang w:val="en-US"/>
              </w:rPr>
            </w:pPr>
            <w:r w:rsidRPr="00670221">
              <w:rPr>
                <w:sz w:val="20"/>
                <w:szCs w:val="20"/>
                <w:lang w:val="en-US"/>
              </w:rPr>
              <w:t>kWh/kg CO2</w:t>
            </w:r>
          </w:p>
        </w:tc>
      </w:tr>
    </w:tbl>
    <w:p w14:paraId="18C64560" w14:textId="309D90A3" w:rsidR="005C483C" w:rsidRPr="00670221" w:rsidRDefault="00A1663F" w:rsidP="00A1663F">
      <w:pPr>
        <w:pStyle w:val="Caption"/>
        <w:rPr>
          <w:lang w:val="en-US"/>
        </w:rPr>
      </w:pPr>
      <w:bookmarkStart w:id="82" w:name="_Toc184403590"/>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1</w:t>
      </w:r>
      <w:r w:rsidR="00EF60A5" w:rsidRPr="00670221">
        <w:rPr>
          <w:lang w:val="en-US"/>
        </w:rPr>
        <w:fldChar w:fldCharType="end"/>
      </w:r>
      <w:r w:rsidRPr="00670221">
        <w:rPr>
          <w:lang w:val="en-US"/>
        </w:rPr>
        <w:t xml:space="preserve">: </w:t>
      </w:r>
      <w:r w:rsidR="00EA124D" w:rsidRPr="00670221">
        <w:rPr>
          <w:lang w:val="en-US"/>
        </w:rPr>
        <w:t>O</w:t>
      </w:r>
      <w:r w:rsidRPr="00670221">
        <w:rPr>
          <w:lang w:val="en-US"/>
        </w:rPr>
        <w:t xml:space="preserve">verview of the minimal energy </w:t>
      </w:r>
      <w:r w:rsidR="00247204" w:rsidRPr="00670221">
        <w:rPr>
          <w:lang w:val="en-US"/>
        </w:rPr>
        <w:t>requirements</w:t>
      </w:r>
      <w:r w:rsidRPr="00670221">
        <w:rPr>
          <w:lang w:val="en-US"/>
        </w:rPr>
        <w:t xml:space="preserve"> for DAC supporting the assumptions for 2050</w:t>
      </w:r>
      <w:bookmarkEnd w:id="82"/>
    </w:p>
    <w:p w14:paraId="13873877" w14:textId="71A43263" w:rsidR="00E2347E" w:rsidRPr="00670221" w:rsidRDefault="00E2347E" w:rsidP="00D75550">
      <w:pPr>
        <w:pStyle w:val="Heading4"/>
        <w:rPr>
          <w:lang w:val="en-US"/>
        </w:rPr>
      </w:pPr>
      <w:r w:rsidRPr="00670221">
        <w:rPr>
          <w:lang w:val="en-US"/>
        </w:rPr>
        <w:lastRenderedPageBreak/>
        <w:t>Proton Exchange Membrane Electrolysis</w:t>
      </w:r>
    </w:p>
    <w:p w14:paraId="332C1AA6" w14:textId="77777777" w:rsidR="00D73DB1" w:rsidRPr="00670221" w:rsidRDefault="00E029A2" w:rsidP="00D73DB1">
      <w:pPr>
        <w:keepNext/>
        <w:jc w:val="center"/>
        <w:rPr>
          <w:lang w:val="en-US"/>
        </w:rPr>
      </w:pPr>
      <w:r w:rsidRPr="00670221">
        <w:rPr>
          <w:noProof/>
          <w:lang w:val="en-US"/>
        </w:rPr>
        <w:drawing>
          <wp:inline distT="0" distB="0" distL="0" distR="0" wp14:anchorId="7DC67C80" wp14:editId="42A32E44">
            <wp:extent cx="5400000" cy="2880000"/>
            <wp:effectExtent l="0" t="0" r="0" b="3175"/>
            <wp:docPr id="500362615" name="Picture 1" descr="A graph showing the difference between pem and capex and efficienc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362615" name="Picture 1" descr="A graph showing the difference between pem and capex and efficiency&#10;&#10;Description automatically generated"/>
                    <pic:cNvPicPr/>
                  </pic:nvPicPr>
                  <pic:blipFill>
                    <a:blip r:embed="rId38"/>
                    <a:stretch>
                      <a:fillRect/>
                    </a:stretch>
                  </pic:blipFill>
                  <pic:spPr>
                    <a:xfrm>
                      <a:off x="0" y="0"/>
                      <a:ext cx="5400000" cy="2880000"/>
                    </a:xfrm>
                    <a:prstGeom prst="rect">
                      <a:avLst/>
                    </a:prstGeom>
                  </pic:spPr>
                </pic:pic>
              </a:graphicData>
            </a:graphic>
          </wp:inline>
        </w:drawing>
      </w:r>
    </w:p>
    <w:p w14:paraId="63807DD4" w14:textId="7E34DC38" w:rsidR="00077012" w:rsidRPr="00670221" w:rsidRDefault="00D73DB1" w:rsidP="0089624C">
      <w:pPr>
        <w:pStyle w:val="Caption"/>
        <w:rPr>
          <w:lang w:val="en-US"/>
        </w:rPr>
      </w:pPr>
      <w:bookmarkStart w:id="83" w:name="_Toc184403556"/>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2</w:t>
      </w:r>
      <w:r w:rsidR="002A3EA2" w:rsidRPr="00670221">
        <w:rPr>
          <w:lang w:val="en-US"/>
        </w:rPr>
        <w:fldChar w:fldCharType="end"/>
      </w:r>
      <w:r w:rsidRPr="00670221">
        <w:rPr>
          <w:lang w:val="en-US"/>
        </w:rPr>
        <w:t xml:space="preserve"> CAPEX and efficiency curve for PEM from 2020 to 2050</w:t>
      </w:r>
      <w:bookmarkEnd w:id="83"/>
    </w:p>
    <w:p w14:paraId="6021E5C7" w14:textId="6729C31A" w:rsidR="00D73DB1" w:rsidRPr="00670221" w:rsidRDefault="008C6E42" w:rsidP="00E029A2">
      <w:pPr>
        <w:rPr>
          <w:lang w:val="en-US"/>
        </w:rPr>
      </w:pPr>
      <w:r w:rsidRPr="00670221">
        <w:rPr>
          <w:lang w:val="en-US"/>
        </w:rPr>
        <w:t xml:space="preserve">The efficiencies of the PEM </w:t>
      </w:r>
      <w:proofErr w:type="spellStart"/>
      <w:r w:rsidRPr="00670221">
        <w:rPr>
          <w:lang w:val="en-US"/>
        </w:rPr>
        <w:t>electrolyzer</w:t>
      </w:r>
      <w:proofErr w:type="spellEnd"/>
      <w:r w:rsidRPr="00670221">
        <w:rPr>
          <w:lang w:val="en-US"/>
        </w:rPr>
        <w:t xml:space="preserve"> </w:t>
      </w:r>
      <w:r w:rsidR="005C551F" w:rsidRPr="00670221">
        <w:rPr>
          <w:lang w:val="en-US"/>
        </w:rPr>
        <w:t>was</w:t>
      </w:r>
      <w:r w:rsidRPr="00670221">
        <w:rPr>
          <w:lang w:val="en-US"/>
        </w:rPr>
        <w:t xml:space="preserve"> modeled linearly, as this provided the best fit with</w:t>
      </w:r>
      <w:r w:rsidR="00474B1B" w:rsidRPr="00670221">
        <w:rPr>
          <w:lang w:val="en-US"/>
        </w:rPr>
        <w:t xml:space="preserve"> data points other than 2050 (</w:t>
      </w:r>
      <w:r w:rsidR="008E77D7" w:rsidRPr="00670221">
        <w:rPr>
          <w:lang w:val="en-US"/>
        </w:rPr>
        <w:t>IEA, 2019, Martin et al., 2023; Seymour et al., 2023</w:t>
      </w:r>
      <w:r w:rsidR="004A63F7" w:rsidRPr="00670221">
        <w:rPr>
          <w:lang w:val="en-US"/>
        </w:rPr>
        <w:t>; Sherwin</w:t>
      </w:r>
      <w:r w:rsidR="00D73DB1" w:rsidRPr="00670221">
        <w:rPr>
          <w:lang w:val="en-US"/>
        </w:rPr>
        <w:t>, 2023).</w:t>
      </w:r>
    </w:p>
    <w:p w14:paraId="1D9559E8" w14:textId="78969529" w:rsidR="00D75550" w:rsidRPr="00670221" w:rsidRDefault="00E029A2" w:rsidP="00D75550">
      <w:pPr>
        <w:pStyle w:val="Heading4"/>
        <w:rPr>
          <w:lang w:val="en-US"/>
        </w:rPr>
      </w:pPr>
      <w:r w:rsidRPr="00670221">
        <w:rPr>
          <w:lang w:val="en-US"/>
        </w:rPr>
        <w:t>Solid</w:t>
      </w:r>
      <w:r w:rsidR="00D75550" w:rsidRPr="00670221">
        <w:rPr>
          <w:lang w:val="en-US"/>
        </w:rPr>
        <w:t xml:space="preserve"> Oxide Electrolysis</w:t>
      </w:r>
    </w:p>
    <w:p w14:paraId="5CCE2C3C" w14:textId="77777777" w:rsidR="00F1655C" w:rsidRPr="00670221" w:rsidRDefault="00D75550" w:rsidP="00F1655C">
      <w:pPr>
        <w:keepNext/>
        <w:jc w:val="center"/>
        <w:rPr>
          <w:lang w:val="en-US"/>
        </w:rPr>
      </w:pPr>
      <w:r w:rsidRPr="00670221">
        <w:rPr>
          <w:noProof/>
          <w:lang w:val="en-US"/>
        </w:rPr>
        <w:drawing>
          <wp:inline distT="0" distB="0" distL="0" distR="0" wp14:anchorId="67FFB01A" wp14:editId="5713D08D">
            <wp:extent cx="5400000" cy="2880000"/>
            <wp:effectExtent l="0" t="0" r="0" b="3175"/>
            <wp:docPr id="1792457311" name="Picture 1" descr="A graph showing the growth of the company's revenu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457311" name="Picture 1" descr="A graph showing the growth of the company's revenue&#10;&#10;Description automatically generated"/>
                    <pic:cNvPicPr/>
                  </pic:nvPicPr>
                  <pic:blipFill>
                    <a:blip r:embed="rId39"/>
                    <a:stretch>
                      <a:fillRect/>
                    </a:stretch>
                  </pic:blipFill>
                  <pic:spPr>
                    <a:xfrm>
                      <a:off x="0" y="0"/>
                      <a:ext cx="5400000" cy="2880000"/>
                    </a:xfrm>
                    <a:prstGeom prst="rect">
                      <a:avLst/>
                    </a:prstGeom>
                  </pic:spPr>
                </pic:pic>
              </a:graphicData>
            </a:graphic>
          </wp:inline>
        </w:drawing>
      </w:r>
    </w:p>
    <w:p w14:paraId="7256BD49" w14:textId="5BB7E628" w:rsidR="00C24FF1" w:rsidRPr="00670221" w:rsidRDefault="00F1655C" w:rsidP="00F1655C">
      <w:pPr>
        <w:pStyle w:val="Caption"/>
        <w:rPr>
          <w:lang w:val="en-US"/>
        </w:rPr>
      </w:pPr>
      <w:bookmarkStart w:id="84" w:name="_Toc184403557"/>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3</w:t>
      </w:r>
      <w:r w:rsidR="002A3EA2" w:rsidRPr="00670221">
        <w:rPr>
          <w:lang w:val="en-US"/>
        </w:rPr>
        <w:fldChar w:fldCharType="end"/>
      </w:r>
      <w:r w:rsidRPr="00670221">
        <w:rPr>
          <w:lang w:val="en-US"/>
        </w:rPr>
        <w:t xml:space="preserve">: CAPEX curve for </w:t>
      </w:r>
      <w:r w:rsidR="00042398">
        <w:rPr>
          <w:lang w:val="en-US"/>
        </w:rPr>
        <w:t>s</w:t>
      </w:r>
      <w:r w:rsidRPr="00670221">
        <w:rPr>
          <w:lang w:val="en-US"/>
        </w:rPr>
        <w:t xml:space="preserve">olid </w:t>
      </w:r>
      <w:r w:rsidR="00042398">
        <w:rPr>
          <w:lang w:val="en-US"/>
        </w:rPr>
        <w:t>o</w:t>
      </w:r>
      <w:r w:rsidRPr="00670221">
        <w:rPr>
          <w:lang w:val="en-US"/>
        </w:rPr>
        <w:t xml:space="preserve">xide </w:t>
      </w:r>
      <w:r w:rsidR="00042398">
        <w:rPr>
          <w:lang w:val="en-US"/>
        </w:rPr>
        <w:t>c</w:t>
      </w:r>
      <w:r w:rsidRPr="00670221">
        <w:rPr>
          <w:lang w:val="en-US"/>
        </w:rPr>
        <w:t>o-electrolysis from 2023 to 2050</w:t>
      </w:r>
      <w:bookmarkEnd w:id="84"/>
    </w:p>
    <w:p w14:paraId="17938596" w14:textId="50E14591" w:rsidR="00E71EB7" w:rsidRPr="00670221" w:rsidRDefault="00DF536C" w:rsidP="00EA412D">
      <w:pPr>
        <w:rPr>
          <w:lang w:val="en-US"/>
        </w:rPr>
      </w:pPr>
      <w:r w:rsidRPr="00670221">
        <w:rPr>
          <w:lang w:val="en-US"/>
        </w:rPr>
        <w:t>C</w:t>
      </w:r>
      <w:r w:rsidR="00C24FF1" w:rsidRPr="00670221">
        <w:rPr>
          <w:lang w:val="en-US"/>
        </w:rPr>
        <w:t>o-electrolysis requir</w:t>
      </w:r>
      <w:r w:rsidRPr="00670221">
        <w:rPr>
          <w:lang w:val="en-US"/>
        </w:rPr>
        <w:t>es</w:t>
      </w:r>
      <w:r w:rsidR="00C24FF1" w:rsidRPr="00670221">
        <w:rPr>
          <w:lang w:val="en-US"/>
        </w:rPr>
        <w:t xml:space="preserve"> minimal adjustments to the SOE </w:t>
      </w:r>
      <w:proofErr w:type="spellStart"/>
      <w:r w:rsidR="00C24FF1" w:rsidRPr="00670221">
        <w:rPr>
          <w:lang w:val="en-US"/>
        </w:rPr>
        <w:t>electrolyzer</w:t>
      </w:r>
      <w:proofErr w:type="spellEnd"/>
      <w:r w:rsidRPr="00670221">
        <w:rPr>
          <w:lang w:val="en-US"/>
        </w:rPr>
        <w:t xml:space="preserve"> and</w:t>
      </w:r>
      <w:r w:rsidR="00C24FF1" w:rsidRPr="00670221">
        <w:rPr>
          <w:lang w:val="en-US"/>
        </w:rPr>
        <w:t xml:space="preserve"> can leverage existing data on future price reductions as SOE has frequently been </w:t>
      </w:r>
      <w:r w:rsidR="005E3D6F" w:rsidRPr="00670221">
        <w:rPr>
          <w:lang w:val="en-US"/>
        </w:rPr>
        <w:t>modelled for</w:t>
      </w:r>
      <w:r w:rsidR="00C24FF1" w:rsidRPr="00670221">
        <w:rPr>
          <w:lang w:val="en-US"/>
        </w:rPr>
        <w:t xml:space="preserve"> hydrogen production (Zheng et al., 2017). However, co-electrolysis efficiencies differ from regular SOE efficiencies, and limited data is available, so no efficiency gains were modeled or depicted in figure 4.</w:t>
      </w:r>
      <w:r w:rsidR="0072169B" w:rsidRPr="00670221">
        <w:rPr>
          <w:lang w:val="en-US"/>
        </w:rPr>
        <w:t>3</w:t>
      </w:r>
      <w:r w:rsidR="00D75550" w:rsidRPr="00670221">
        <w:rPr>
          <w:lang w:val="en-US"/>
        </w:rPr>
        <w:t>.</w:t>
      </w:r>
    </w:p>
    <w:p w14:paraId="2DD5B78A" w14:textId="41950568" w:rsidR="00F1655C" w:rsidRPr="00670221" w:rsidRDefault="00F1655C" w:rsidP="00F1655C">
      <w:pPr>
        <w:pStyle w:val="Heading4"/>
        <w:rPr>
          <w:lang w:val="en-US"/>
        </w:rPr>
      </w:pPr>
      <w:r w:rsidRPr="00670221">
        <w:rPr>
          <w:lang w:val="en-US"/>
        </w:rPr>
        <w:lastRenderedPageBreak/>
        <w:t>Fuel Synthesis</w:t>
      </w:r>
    </w:p>
    <w:p w14:paraId="5C28FF5D" w14:textId="77777777" w:rsidR="00F1655C" w:rsidRPr="00670221" w:rsidRDefault="00E71EB7" w:rsidP="00F1655C">
      <w:pPr>
        <w:keepNext/>
        <w:autoSpaceDE w:val="0"/>
        <w:autoSpaceDN w:val="0"/>
        <w:adjustRightInd w:val="0"/>
        <w:spacing w:before="0" w:after="0"/>
        <w:jc w:val="center"/>
        <w:rPr>
          <w:lang w:val="en-US"/>
        </w:rPr>
      </w:pPr>
      <w:r w:rsidRPr="00670221">
        <w:rPr>
          <w:noProof/>
          <w:lang w:val="en-US"/>
        </w:rPr>
        <w:drawing>
          <wp:inline distT="0" distB="0" distL="0" distR="0" wp14:anchorId="7E5A928B" wp14:editId="38EBA377">
            <wp:extent cx="5400000" cy="2880000"/>
            <wp:effectExtent l="0" t="0" r="0" b="3175"/>
            <wp:docPr id="1874411953" name="Picture 1" descr="A graph showing the difference between fuel and efficienc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4411953" name="Picture 1" descr="A graph showing the difference between fuel and efficiency&#10;&#10;Description automatically generated"/>
                    <pic:cNvPicPr/>
                  </pic:nvPicPr>
                  <pic:blipFill>
                    <a:blip r:embed="rId40"/>
                    <a:stretch>
                      <a:fillRect/>
                    </a:stretch>
                  </pic:blipFill>
                  <pic:spPr>
                    <a:xfrm>
                      <a:off x="0" y="0"/>
                      <a:ext cx="5400000" cy="2880000"/>
                    </a:xfrm>
                    <a:prstGeom prst="rect">
                      <a:avLst/>
                    </a:prstGeom>
                  </pic:spPr>
                </pic:pic>
              </a:graphicData>
            </a:graphic>
          </wp:inline>
        </w:drawing>
      </w:r>
    </w:p>
    <w:p w14:paraId="747EBC28" w14:textId="5E6078D0" w:rsidR="00EA412D" w:rsidRPr="00670221" w:rsidRDefault="00F1655C" w:rsidP="00774FF2">
      <w:pPr>
        <w:pStyle w:val="Caption"/>
        <w:rPr>
          <w:rFonts w:cstheme="minorHAnsi"/>
          <w:b/>
          <w:bCs/>
          <w:kern w:val="0"/>
          <w:lang w:val="en-US"/>
        </w:rPr>
      </w:pPr>
      <w:bookmarkStart w:id="85" w:name="_Toc184403558"/>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4</w:t>
      </w:r>
      <w:r w:rsidR="002A3EA2" w:rsidRPr="00670221">
        <w:rPr>
          <w:lang w:val="en-US"/>
        </w:rPr>
        <w:fldChar w:fldCharType="end"/>
      </w:r>
      <w:r w:rsidRPr="00670221">
        <w:rPr>
          <w:lang w:val="en-US"/>
        </w:rPr>
        <w:t>: CAPEX and efficiency curve for fuel synthesis from 2020 to 2050</w:t>
      </w:r>
      <w:bookmarkEnd w:id="85"/>
    </w:p>
    <w:p w14:paraId="372A4050" w14:textId="4CC63F11" w:rsidR="00DB5796" w:rsidRPr="00670221" w:rsidRDefault="00C95C38" w:rsidP="0089624C">
      <w:pPr>
        <w:spacing w:before="0" w:after="0"/>
        <w:rPr>
          <w:rFonts w:cstheme="minorHAnsi"/>
          <w:b/>
          <w:bCs/>
          <w:kern w:val="0"/>
          <w:lang w:val="en-US"/>
        </w:rPr>
      </w:pPr>
      <w:r w:rsidRPr="00670221">
        <w:rPr>
          <w:lang w:val="en-US"/>
        </w:rPr>
        <w:t xml:space="preserve">Fuel synthesis, typically modeled as a single step, </w:t>
      </w:r>
      <w:r w:rsidR="00CE3FAC" w:rsidRPr="00670221">
        <w:rPr>
          <w:lang w:val="en-US"/>
        </w:rPr>
        <w:t>consists</w:t>
      </w:r>
      <w:r w:rsidRPr="00670221">
        <w:rPr>
          <w:lang w:val="en-US"/>
        </w:rPr>
        <w:t xml:space="preserve"> of the </w:t>
      </w:r>
      <w:r w:rsidR="0053034B">
        <w:rPr>
          <w:lang w:val="en-US"/>
        </w:rPr>
        <w:t>reverse w</w:t>
      </w:r>
      <w:r w:rsidRPr="00670221">
        <w:rPr>
          <w:lang w:val="en-US"/>
        </w:rPr>
        <w:t>ater-</w:t>
      </w:r>
      <w:r w:rsidR="0053034B">
        <w:rPr>
          <w:lang w:val="en-US"/>
        </w:rPr>
        <w:t>g</w:t>
      </w:r>
      <w:r w:rsidRPr="00670221">
        <w:rPr>
          <w:lang w:val="en-US"/>
        </w:rPr>
        <w:t xml:space="preserve">as </w:t>
      </w:r>
      <w:r w:rsidR="0053034B">
        <w:rPr>
          <w:lang w:val="en-US"/>
        </w:rPr>
        <w:t>s</w:t>
      </w:r>
      <w:r w:rsidRPr="00670221">
        <w:rPr>
          <w:lang w:val="en-US"/>
        </w:rPr>
        <w:t>hift reactor and Fischer-</w:t>
      </w:r>
      <w:proofErr w:type="spellStart"/>
      <w:r w:rsidRPr="00670221">
        <w:rPr>
          <w:lang w:val="en-US"/>
        </w:rPr>
        <w:t>Tropsch</w:t>
      </w:r>
      <w:proofErr w:type="spellEnd"/>
      <w:r w:rsidRPr="00670221">
        <w:rPr>
          <w:lang w:val="en-US"/>
        </w:rPr>
        <w:t xml:space="preserve"> synthesis. As FT synthesis is a mature technology from the oil industry, efficiency improvements were attributed to advancements in the RWGS reactor. By assuming FT efficiency at its maximum of 83%, the RWGS reactor’s efficiency was deduced (Sherwin, 2021; </w:t>
      </w:r>
      <w:proofErr w:type="spellStart"/>
      <w:r w:rsidRPr="00670221">
        <w:rPr>
          <w:lang w:val="en-US"/>
        </w:rPr>
        <w:t>Tremel</w:t>
      </w:r>
      <w:proofErr w:type="spellEnd"/>
      <w:r w:rsidRPr="00670221">
        <w:rPr>
          <w:lang w:val="en-US"/>
        </w:rPr>
        <w:t>, 2018). This distinction was essential, as not all pathways include the RWGS reactor.</w:t>
      </w:r>
      <w:r w:rsidR="00090BC4" w:rsidRPr="00670221">
        <w:rPr>
          <w:lang w:val="en-US"/>
        </w:rPr>
        <w:t xml:space="preserve"> CAPEX costs across these components were assumed to be split evenly, with an average distribution of 55% to FT synthesis and 45% to RWGS </w:t>
      </w:r>
      <w:r w:rsidR="00D8167D" w:rsidRPr="00670221">
        <w:rPr>
          <w:lang w:val="en-US"/>
        </w:rPr>
        <w:t xml:space="preserve">found in literature </w:t>
      </w:r>
      <w:r w:rsidR="00090BC4" w:rsidRPr="00670221">
        <w:rPr>
          <w:lang w:val="en-US"/>
        </w:rPr>
        <w:t>(Rojas-</w:t>
      </w:r>
      <w:proofErr w:type="spellStart"/>
      <w:r w:rsidR="00090BC4" w:rsidRPr="00670221">
        <w:rPr>
          <w:lang w:val="en-US"/>
        </w:rPr>
        <w:t>Michaga</w:t>
      </w:r>
      <w:proofErr w:type="spellEnd"/>
      <w:r w:rsidR="00090BC4" w:rsidRPr="00670221">
        <w:rPr>
          <w:lang w:val="en-US"/>
        </w:rPr>
        <w:t xml:space="preserve"> et al., 2023; Sherwin, 2021; Zang et al., 2021).</w:t>
      </w:r>
      <w:r w:rsidR="0089624C" w:rsidRPr="00670221">
        <w:rPr>
          <w:rFonts w:cstheme="minorHAnsi"/>
          <w:b/>
          <w:bCs/>
          <w:kern w:val="0"/>
          <w:lang w:val="en-US"/>
        </w:rPr>
        <w:t xml:space="preserve"> </w:t>
      </w:r>
      <w:r w:rsidR="009B0FA2" w:rsidRPr="00670221">
        <w:rPr>
          <w:lang w:val="en-US"/>
        </w:rPr>
        <w:t>T</w:t>
      </w:r>
      <w:r w:rsidR="00FE3F84" w:rsidRPr="00670221">
        <w:rPr>
          <w:lang w:val="en-US"/>
        </w:rPr>
        <w:t xml:space="preserve">he </w:t>
      </w:r>
      <w:r w:rsidR="00713883" w:rsidRPr="00670221">
        <w:rPr>
          <w:lang w:val="en-US"/>
        </w:rPr>
        <w:t>efficiencies for 202</w:t>
      </w:r>
      <w:r w:rsidR="002E0C57" w:rsidRPr="00670221">
        <w:rPr>
          <w:lang w:val="en-US"/>
        </w:rPr>
        <w:t xml:space="preserve">4 </w:t>
      </w:r>
      <w:r w:rsidR="00713883" w:rsidRPr="00670221">
        <w:rPr>
          <w:lang w:val="en-US"/>
        </w:rPr>
        <w:t xml:space="preserve">are summarized in the table </w:t>
      </w:r>
      <w:r w:rsidR="002E0C57" w:rsidRPr="00670221">
        <w:rPr>
          <w:lang w:val="en-US"/>
        </w:rPr>
        <w:t>below</w:t>
      </w:r>
      <w:r w:rsidR="00FE3F84" w:rsidRPr="00670221">
        <w:rPr>
          <w:lang w:val="en-US"/>
        </w:rPr>
        <w:t>.</w:t>
      </w:r>
    </w:p>
    <w:tbl>
      <w:tblPr>
        <w:tblStyle w:val="TableGrid"/>
        <w:tblW w:w="5000" w:type="pct"/>
        <w:tblLook w:val="04A0" w:firstRow="1" w:lastRow="0" w:firstColumn="1" w:lastColumn="0" w:noHBand="0" w:noVBand="1"/>
      </w:tblPr>
      <w:tblGrid>
        <w:gridCol w:w="4508"/>
        <w:gridCol w:w="4508"/>
      </w:tblGrid>
      <w:tr w:rsidR="00713883" w:rsidRPr="00670221" w14:paraId="5BB7EB9D" w14:textId="77777777" w:rsidTr="00713883">
        <w:trPr>
          <w:trHeight w:val="533"/>
        </w:trPr>
        <w:tc>
          <w:tcPr>
            <w:tcW w:w="2500" w:type="pct"/>
          </w:tcPr>
          <w:p w14:paraId="70DADBA3" w14:textId="12D7D7FA" w:rsidR="00713883" w:rsidRPr="00670221" w:rsidRDefault="00F1655C" w:rsidP="005D30C9">
            <w:pPr>
              <w:rPr>
                <w:b/>
                <w:bCs/>
                <w:lang w:val="en-US"/>
              </w:rPr>
            </w:pPr>
            <w:r w:rsidRPr="00670221">
              <w:rPr>
                <w:b/>
                <w:bCs/>
                <w:lang w:val="en-US"/>
              </w:rPr>
              <w:t>Technology</w:t>
            </w:r>
          </w:p>
        </w:tc>
        <w:tc>
          <w:tcPr>
            <w:tcW w:w="2500" w:type="pct"/>
          </w:tcPr>
          <w:p w14:paraId="1968920E" w14:textId="206F7AEE" w:rsidR="00713883" w:rsidRPr="00670221" w:rsidRDefault="00713883" w:rsidP="005D30C9">
            <w:pPr>
              <w:rPr>
                <w:b/>
                <w:bCs/>
                <w:lang w:val="en-US"/>
              </w:rPr>
            </w:pPr>
            <w:r w:rsidRPr="00670221">
              <w:rPr>
                <w:b/>
                <w:bCs/>
                <w:lang w:val="en-US"/>
              </w:rPr>
              <w:t>E</w:t>
            </w:r>
            <w:r w:rsidR="005F45B4" w:rsidRPr="00670221">
              <w:rPr>
                <w:b/>
                <w:bCs/>
                <w:lang w:val="en-US"/>
              </w:rPr>
              <w:t>nergy e</w:t>
            </w:r>
            <w:r w:rsidRPr="00670221">
              <w:rPr>
                <w:b/>
                <w:bCs/>
                <w:lang w:val="en-US"/>
              </w:rPr>
              <w:t>fficiency</w:t>
            </w:r>
            <w:r w:rsidR="002E0C57" w:rsidRPr="00670221">
              <w:rPr>
                <w:b/>
                <w:bCs/>
                <w:lang w:val="en-US"/>
              </w:rPr>
              <w:t xml:space="preserve"> (%)</w:t>
            </w:r>
          </w:p>
        </w:tc>
      </w:tr>
      <w:tr w:rsidR="00713883" w:rsidRPr="00670221" w14:paraId="594AD0F3" w14:textId="77777777" w:rsidTr="00713883">
        <w:trPr>
          <w:trHeight w:val="533"/>
        </w:trPr>
        <w:tc>
          <w:tcPr>
            <w:tcW w:w="2500" w:type="pct"/>
          </w:tcPr>
          <w:p w14:paraId="39D6DFA5" w14:textId="2F4E4546" w:rsidR="00713883" w:rsidRPr="00670221" w:rsidRDefault="00713883" w:rsidP="005D30C9">
            <w:pPr>
              <w:rPr>
                <w:lang w:val="en-US"/>
              </w:rPr>
            </w:pPr>
            <w:r w:rsidRPr="00670221">
              <w:rPr>
                <w:lang w:val="en-US"/>
              </w:rPr>
              <w:t>PEM</w:t>
            </w:r>
          </w:p>
        </w:tc>
        <w:tc>
          <w:tcPr>
            <w:tcW w:w="2500" w:type="pct"/>
          </w:tcPr>
          <w:p w14:paraId="77D8F563" w14:textId="56CBB30E" w:rsidR="00713883" w:rsidRPr="00670221" w:rsidRDefault="002E0C57" w:rsidP="005D30C9">
            <w:pPr>
              <w:rPr>
                <w:lang w:val="en-US"/>
              </w:rPr>
            </w:pPr>
            <w:r w:rsidRPr="00670221">
              <w:rPr>
                <w:lang w:val="en-US"/>
              </w:rPr>
              <w:t>65</w:t>
            </w:r>
          </w:p>
        </w:tc>
      </w:tr>
      <w:tr w:rsidR="00713883" w:rsidRPr="00670221" w14:paraId="70F25038" w14:textId="77777777" w:rsidTr="00713883">
        <w:trPr>
          <w:trHeight w:val="533"/>
        </w:trPr>
        <w:tc>
          <w:tcPr>
            <w:tcW w:w="2500" w:type="pct"/>
          </w:tcPr>
          <w:p w14:paraId="263EDFF5" w14:textId="04C40BD0" w:rsidR="00713883" w:rsidRPr="00670221" w:rsidRDefault="00713883" w:rsidP="005D30C9">
            <w:pPr>
              <w:rPr>
                <w:lang w:val="en-US"/>
              </w:rPr>
            </w:pPr>
            <w:r w:rsidRPr="00670221">
              <w:rPr>
                <w:lang w:val="en-US"/>
              </w:rPr>
              <w:t>SOE</w:t>
            </w:r>
          </w:p>
        </w:tc>
        <w:tc>
          <w:tcPr>
            <w:tcW w:w="2500" w:type="pct"/>
          </w:tcPr>
          <w:p w14:paraId="279A9928" w14:textId="36E4A8DB" w:rsidR="00713883" w:rsidRPr="00670221" w:rsidRDefault="002E0C57" w:rsidP="005D30C9">
            <w:pPr>
              <w:rPr>
                <w:lang w:val="en-US"/>
              </w:rPr>
            </w:pPr>
            <w:r w:rsidRPr="00670221">
              <w:rPr>
                <w:lang w:val="en-US"/>
              </w:rPr>
              <w:t>82</w:t>
            </w:r>
          </w:p>
        </w:tc>
      </w:tr>
      <w:tr w:rsidR="00713883" w:rsidRPr="00670221" w14:paraId="7F7FF99B" w14:textId="77777777" w:rsidTr="00713883">
        <w:trPr>
          <w:trHeight w:val="533"/>
        </w:trPr>
        <w:tc>
          <w:tcPr>
            <w:tcW w:w="2500" w:type="pct"/>
          </w:tcPr>
          <w:p w14:paraId="1AFC797E" w14:textId="6E4B41FA" w:rsidR="00713883" w:rsidRPr="00670221" w:rsidRDefault="00713883" w:rsidP="005D30C9">
            <w:pPr>
              <w:rPr>
                <w:lang w:val="en-US"/>
              </w:rPr>
            </w:pPr>
            <w:r w:rsidRPr="00670221">
              <w:rPr>
                <w:lang w:val="en-US"/>
              </w:rPr>
              <w:t>RWGS</w:t>
            </w:r>
            <w:r w:rsidR="001E5FE4" w:rsidRPr="00670221">
              <w:rPr>
                <w:lang w:val="en-US"/>
              </w:rPr>
              <w:t xml:space="preserve"> reactor</w:t>
            </w:r>
          </w:p>
        </w:tc>
        <w:tc>
          <w:tcPr>
            <w:tcW w:w="2500" w:type="pct"/>
          </w:tcPr>
          <w:p w14:paraId="06B59774" w14:textId="011E5ED4" w:rsidR="00713883" w:rsidRPr="00670221" w:rsidRDefault="002E0C57" w:rsidP="005D30C9">
            <w:pPr>
              <w:rPr>
                <w:lang w:val="en-US"/>
              </w:rPr>
            </w:pPr>
            <w:r w:rsidRPr="00670221">
              <w:rPr>
                <w:lang w:val="en-US"/>
              </w:rPr>
              <w:t>83</w:t>
            </w:r>
          </w:p>
        </w:tc>
      </w:tr>
      <w:tr w:rsidR="00713883" w:rsidRPr="00670221" w14:paraId="7FBF25D6" w14:textId="77777777" w:rsidTr="00713883">
        <w:trPr>
          <w:trHeight w:val="533"/>
        </w:trPr>
        <w:tc>
          <w:tcPr>
            <w:tcW w:w="2500" w:type="pct"/>
          </w:tcPr>
          <w:p w14:paraId="6B979F8D" w14:textId="33C0499A" w:rsidR="00713883" w:rsidRPr="00670221" w:rsidRDefault="00713883" w:rsidP="005D30C9">
            <w:pPr>
              <w:rPr>
                <w:lang w:val="en-US"/>
              </w:rPr>
            </w:pPr>
            <w:r w:rsidRPr="00670221">
              <w:rPr>
                <w:lang w:val="en-US"/>
              </w:rPr>
              <w:t>FT</w:t>
            </w:r>
            <w:r w:rsidR="001E5FE4" w:rsidRPr="00670221">
              <w:rPr>
                <w:lang w:val="en-US"/>
              </w:rPr>
              <w:t xml:space="preserve"> synthesis</w:t>
            </w:r>
          </w:p>
        </w:tc>
        <w:tc>
          <w:tcPr>
            <w:tcW w:w="2500" w:type="pct"/>
          </w:tcPr>
          <w:p w14:paraId="0DA7F719" w14:textId="205C7610" w:rsidR="00713883" w:rsidRPr="00670221" w:rsidRDefault="00FE768F" w:rsidP="00EA124D">
            <w:pPr>
              <w:keepNext/>
              <w:rPr>
                <w:lang w:val="en-US"/>
              </w:rPr>
            </w:pPr>
            <w:r w:rsidRPr="00670221">
              <w:rPr>
                <w:lang w:val="en-US"/>
              </w:rPr>
              <w:t>82</w:t>
            </w:r>
          </w:p>
        </w:tc>
      </w:tr>
    </w:tbl>
    <w:p w14:paraId="55F24E68" w14:textId="65469628" w:rsidR="00BB174B" w:rsidRPr="00670221" w:rsidRDefault="00EA124D" w:rsidP="00EA124D">
      <w:pPr>
        <w:pStyle w:val="Caption"/>
        <w:rPr>
          <w:lang w:val="en-US"/>
        </w:rPr>
      </w:pPr>
      <w:bookmarkStart w:id="86" w:name="_Toc184403591"/>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2</w:t>
      </w:r>
      <w:r w:rsidR="00EF60A5" w:rsidRPr="00670221">
        <w:rPr>
          <w:lang w:val="en-US"/>
        </w:rPr>
        <w:fldChar w:fldCharType="end"/>
      </w:r>
      <w:r w:rsidRPr="00670221">
        <w:rPr>
          <w:lang w:val="en-US"/>
        </w:rPr>
        <w:t>: Energy efficiencies for 2024</w:t>
      </w:r>
      <w:bookmarkEnd w:id="86"/>
    </w:p>
    <w:p w14:paraId="42B4CD3D" w14:textId="77777777" w:rsidR="00387EB6" w:rsidRPr="00670221" w:rsidRDefault="00387EB6" w:rsidP="00387EB6">
      <w:pPr>
        <w:rPr>
          <w:lang w:val="en-US"/>
        </w:rPr>
      </w:pPr>
    </w:p>
    <w:p w14:paraId="3DDAA066" w14:textId="2F15FFBC" w:rsidR="00723F4B" w:rsidRPr="00670221" w:rsidRDefault="00723F4B" w:rsidP="00F94CE8">
      <w:pPr>
        <w:pStyle w:val="Heading3"/>
      </w:pPr>
      <w:bookmarkStart w:id="87" w:name="_Toc184403450"/>
      <w:r w:rsidRPr="00670221">
        <w:t xml:space="preserve">Cost of </w:t>
      </w:r>
      <w:r w:rsidR="008F54AE" w:rsidRPr="00670221">
        <w:t>C</w:t>
      </w:r>
      <w:r w:rsidRPr="00670221">
        <w:t>arbon</w:t>
      </w:r>
      <w:bookmarkEnd w:id="87"/>
    </w:p>
    <w:p w14:paraId="642CF233" w14:textId="67BA6CAA" w:rsidR="00034B24" w:rsidRPr="00670221" w:rsidRDefault="00034B24" w:rsidP="00603144">
      <w:pPr>
        <w:rPr>
          <w:lang w:val="en-US"/>
        </w:rPr>
      </w:pPr>
      <w:r w:rsidRPr="00670221">
        <w:rPr>
          <w:lang w:val="en-US"/>
        </w:rPr>
        <w:t xml:space="preserve">While most literature typically only considers the cost of carbon capture, </w:t>
      </w:r>
      <w:r w:rsidR="000D4468" w:rsidRPr="00670221">
        <w:rPr>
          <w:lang w:val="en-US"/>
        </w:rPr>
        <w:t>this study</w:t>
      </w:r>
      <w:r w:rsidRPr="00670221">
        <w:rPr>
          <w:lang w:val="en-US"/>
        </w:rPr>
        <w:t xml:space="preserve"> expanded the analysis to include the costs of capture, purification and liquefaction, and transport. Additionally, the source of the CO</w:t>
      </w:r>
      <w:r w:rsidRPr="00781407">
        <w:rPr>
          <w:vertAlign w:val="subscript"/>
          <w:lang w:val="en-US"/>
        </w:rPr>
        <w:t>2</w:t>
      </w:r>
      <w:r w:rsidRPr="00670221">
        <w:rPr>
          <w:lang w:val="en-US"/>
        </w:rPr>
        <w:t>, whether fossil or biogenic, determined the inclusion of the EU ETS price, further influencing the total carbon cost.</w:t>
      </w:r>
    </w:p>
    <w:p w14:paraId="20A66DC2" w14:textId="0A1280CE" w:rsidR="005C1DBE" w:rsidRPr="00670221" w:rsidRDefault="005C1DBE" w:rsidP="00603144">
      <w:pPr>
        <w:pStyle w:val="Heading4"/>
        <w:rPr>
          <w:rFonts w:eastAsiaTheme="minorHAnsi"/>
          <w:lang w:val="en-US"/>
        </w:rPr>
      </w:pPr>
      <w:r w:rsidRPr="00670221">
        <w:rPr>
          <w:lang w:val="en-US"/>
        </w:rPr>
        <w:lastRenderedPageBreak/>
        <w:t xml:space="preserve">Capture </w:t>
      </w:r>
      <w:r w:rsidR="008F54AE" w:rsidRPr="00670221">
        <w:rPr>
          <w:lang w:val="en-US"/>
        </w:rPr>
        <w:t>C</w:t>
      </w:r>
      <w:r w:rsidRPr="00670221">
        <w:rPr>
          <w:lang w:val="en-US"/>
        </w:rPr>
        <w:t>osts</w:t>
      </w:r>
    </w:p>
    <w:p w14:paraId="35D67EF2" w14:textId="1893AABF" w:rsidR="005C1DBE" w:rsidRPr="00670221" w:rsidRDefault="008F54AE" w:rsidP="008F54AE">
      <w:pPr>
        <w:rPr>
          <w:lang w:val="en-US"/>
        </w:rPr>
      </w:pPr>
      <w:r w:rsidRPr="00670221">
        <w:rPr>
          <w:lang w:val="en-US"/>
        </w:rPr>
        <w:t>Capture costs were categorized according to the concentration levels of CO₂ and the nature of the source, whether biogenic or industrial. Higher CO₂ concentrations in off-streams were associated with lower capture costs, while lower concentrations resulted in higher costs. For the purposes of this study, processes eligible to supply CO₂ during the transitional period, as defined by their inclusion in the EU ETS, along with biogenic sources, were averaged and adjusted to align with average data reported in the literature for high and low concentration</w:t>
      </w:r>
      <w:r w:rsidR="001F243B" w:rsidRPr="00670221">
        <w:rPr>
          <w:lang w:val="en-US"/>
        </w:rPr>
        <w:t xml:space="preserve"> (</w:t>
      </w:r>
      <w:proofErr w:type="spellStart"/>
      <w:r w:rsidR="001F243B" w:rsidRPr="00670221">
        <w:rPr>
          <w:lang w:val="en-US"/>
        </w:rPr>
        <w:t>Brynolf</w:t>
      </w:r>
      <w:proofErr w:type="spellEnd"/>
      <w:r w:rsidR="001F243B" w:rsidRPr="00670221">
        <w:rPr>
          <w:lang w:val="en-US"/>
        </w:rPr>
        <w:t xml:space="preserve"> et al., 2018; CBO, 2023; E4tech, 2021; Grahn et al., 2022; IEA, 2019; Rodin et al., 2021; Singh et al., 2023; Tanzer et al., 2021; Yang et al., 2022; Zang et al., 2021)</w:t>
      </w:r>
      <w:r w:rsidRPr="00670221">
        <w:rPr>
          <w:lang w:val="en-US"/>
        </w:rPr>
        <w:t>. In this model, CO₂ capture costs were assumed to be €20/ton for high-concentration streams and €75/ton for low-concentration streams.</w:t>
      </w:r>
      <w:r w:rsidR="00603144" w:rsidRPr="00670221">
        <w:rPr>
          <w:lang w:val="en-US"/>
        </w:rPr>
        <w:t xml:space="preserve"> </w:t>
      </w:r>
    </w:p>
    <w:p w14:paraId="07483470" w14:textId="0262FB74" w:rsidR="00723F4B" w:rsidRPr="00670221" w:rsidRDefault="005C1DBE" w:rsidP="005C1DBE">
      <w:pPr>
        <w:pStyle w:val="Heading4"/>
        <w:rPr>
          <w:lang w:val="en-US"/>
        </w:rPr>
      </w:pPr>
      <w:r w:rsidRPr="00670221">
        <w:rPr>
          <w:lang w:val="en-US"/>
        </w:rPr>
        <w:t xml:space="preserve">Purification and </w:t>
      </w:r>
      <w:r w:rsidR="008F54AE" w:rsidRPr="00670221">
        <w:rPr>
          <w:lang w:val="en-US"/>
        </w:rPr>
        <w:t>L</w:t>
      </w:r>
      <w:r w:rsidRPr="00670221">
        <w:rPr>
          <w:lang w:val="en-US"/>
        </w:rPr>
        <w:t>iquefaction</w:t>
      </w:r>
    </w:p>
    <w:p w14:paraId="2BF03FFB" w14:textId="36E9D5FA" w:rsidR="00034B24" w:rsidRPr="00670221" w:rsidRDefault="00034B24" w:rsidP="00723F4B">
      <w:pPr>
        <w:rPr>
          <w:lang w:val="en-US"/>
        </w:rPr>
      </w:pPr>
      <w:r w:rsidRPr="00670221">
        <w:rPr>
          <w:lang w:val="en-US"/>
        </w:rPr>
        <w:t>Purification and liquefaction were treated as a single cost component, critical for preparing CO₂ for transport and storage. Purification is necessary to remove contaminants that are not permitted in pipelines, while non-condensable gases must be eliminated before liquefaction to ensure safe and efficient handling. Liquefaction is particularly required for maritime and road transport, as CO₂ must be in liquid form to facilitate these methods. The associated costs consist of the initial investment and the energy required for compression and cooling. To determine the levelized cost of liquid CO₂, three quotations from suppliers were obtained</w:t>
      </w:r>
      <w:r w:rsidR="000C64AD" w:rsidRPr="00670221">
        <w:rPr>
          <w:lang w:val="en-US"/>
        </w:rPr>
        <w:t xml:space="preserve"> </w:t>
      </w:r>
      <w:r w:rsidRPr="00670221">
        <w:rPr>
          <w:lang w:val="en-US"/>
        </w:rPr>
        <w:t>and conservatively adjusted to align with lower values from the literature, which typically reflect large industrial processes benefiting from economies of scale</w:t>
      </w:r>
      <w:r w:rsidR="001F243B" w:rsidRPr="00670221">
        <w:rPr>
          <w:lang w:val="en-US"/>
        </w:rPr>
        <w:t xml:space="preserve"> (Chen &amp; </w:t>
      </w:r>
      <w:proofErr w:type="spellStart"/>
      <w:r w:rsidR="001F243B" w:rsidRPr="00670221">
        <w:rPr>
          <w:lang w:val="en-US"/>
        </w:rPr>
        <w:t>Morosuk</w:t>
      </w:r>
      <w:proofErr w:type="spellEnd"/>
      <w:r w:rsidR="001F243B" w:rsidRPr="00670221">
        <w:rPr>
          <w:lang w:val="en-US"/>
        </w:rPr>
        <w:t xml:space="preserve">, 2021; </w:t>
      </w:r>
      <w:proofErr w:type="spellStart"/>
      <w:r w:rsidR="001F243B" w:rsidRPr="00670221">
        <w:rPr>
          <w:lang w:val="en-US"/>
        </w:rPr>
        <w:t>Debergh</w:t>
      </w:r>
      <w:proofErr w:type="spellEnd"/>
      <w:r w:rsidR="001F243B" w:rsidRPr="00670221">
        <w:rPr>
          <w:lang w:val="en-US"/>
        </w:rPr>
        <w:t xml:space="preserve"> et al., 2023; Deng et al., 2019</w:t>
      </w:r>
      <w:r w:rsidR="000C64AD" w:rsidRPr="00670221">
        <w:rPr>
          <w:lang w:val="en-US"/>
        </w:rPr>
        <w:t>;)</w:t>
      </w:r>
      <w:r w:rsidRPr="00670221">
        <w:rPr>
          <w:lang w:val="en-US"/>
        </w:rPr>
        <w:t>. For this analysis, we assumed annualized fixed costs of €10.00 EUR/ton and an energy consumption of 130 kWh/ton.</w:t>
      </w:r>
    </w:p>
    <w:p w14:paraId="20EBF212" w14:textId="60E5D270" w:rsidR="00034B24" w:rsidRPr="00670221" w:rsidRDefault="00034B24" w:rsidP="00034B24">
      <w:pPr>
        <w:pStyle w:val="Heading4"/>
        <w:rPr>
          <w:lang w:val="en-US"/>
        </w:rPr>
      </w:pPr>
      <w:r w:rsidRPr="00670221">
        <w:rPr>
          <w:lang w:val="en-US"/>
        </w:rPr>
        <w:t>Transport</w:t>
      </w:r>
    </w:p>
    <w:p w14:paraId="32BDC9B3" w14:textId="707B740A" w:rsidR="00543AA0" w:rsidRPr="00670221" w:rsidRDefault="00723F4B" w:rsidP="00723F4B">
      <w:pPr>
        <w:rPr>
          <w:lang w:val="en-US"/>
        </w:rPr>
      </w:pPr>
      <w:r w:rsidRPr="00670221">
        <w:rPr>
          <w:lang w:val="en-US"/>
        </w:rPr>
        <w:t>Transport costs were averaged from literature, which included both pipeline and maritime transport</w:t>
      </w:r>
      <w:r w:rsidR="009B4BA5" w:rsidRPr="00670221">
        <w:rPr>
          <w:lang w:val="en-US"/>
        </w:rPr>
        <w:t xml:space="preserve"> (</w:t>
      </w:r>
      <w:proofErr w:type="spellStart"/>
      <w:r w:rsidR="009B4BA5" w:rsidRPr="00670221">
        <w:rPr>
          <w:lang w:val="en-US"/>
        </w:rPr>
        <w:t>Becattini</w:t>
      </w:r>
      <w:proofErr w:type="spellEnd"/>
      <w:r w:rsidR="009B4BA5" w:rsidRPr="00670221">
        <w:rPr>
          <w:lang w:val="en-US"/>
        </w:rPr>
        <w:t xml:space="preserve"> et al., 2021; </w:t>
      </w:r>
      <w:proofErr w:type="spellStart"/>
      <w:r w:rsidR="009B4BA5" w:rsidRPr="00670221">
        <w:rPr>
          <w:lang w:val="en-US"/>
        </w:rPr>
        <w:t>Fasihi</w:t>
      </w:r>
      <w:proofErr w:type="spellEnd"/>
      <w:r w:rsidR="009B4BA5" w:rsidRPr="00670221">
        <w:rPr>
          <w:lang w:val="en-US"/>
        </w:rPr>
        <w:t xml:space="preserve"> et al., 2019; </w:t>
      </w:r>
      <w:proofErr w:type="spellStart"/>
      <w:r w:rsidR="009B4BA5" w:rsidRPr="00670221">
        <w:rPr>
          <w:lang w:val="en-US"/>
        </w:rPr>
        <w:t>Mandova</w:t>
      </w:r>
      <w:proofErr w:type="spellEnd"/>
      <w:r w:rsidR="009B4BA5" w:rsidRPr="00670221">
        <w:rPr>
          <w:lang w:val="en-US"/>
        </w:rPr>
        <w:t xml:space="preserve"> et al., 2019; Smith et al., 2021; Tanzer et al., 2020; Yang et al., 2021)</w:t>
      </w:r>
      <w:r w:rsidRPr="00670221">
        <w:rPr>
          <w:lang w:val="en-US"/>
        </w:rPr>
        <w:t xml:space="preserve">. However, given that </w:t>
      </w:r>
      <w:proofErr w:type="spellStart"/>
      <w:r w:rsidRPr="00670221">
        <w:rPr>
          <w:lang w:val="en-US"/>
        </w:rPr>
        <w:t>eSAF</w:t>
      </w:r>
      <w:proofErr w:type="spellEnd"/>
      <w:r w:rsidRPr="00670221">
        <w:rPr>
          <w:lang w:val="en-US"/>
        </w:rPr>
        <w:t xml:space="preserve"> production is likely to occur in locations with high renewable energy availability—areas not necessarily connected to CO2 pipelines or harbors—and considering the small quantities involved in initial demonstration projects, more expensive truck transport is likely to be required. Despite this, average data from the literature were used to maintain consistency and provide a conservative analysis</w:t>
      </w:r>
      <w:r w:rsidR="00BC2A04" w:rsidRPr="00670221">
        <w:rPr>
          <w:lang w:val="en-US"/>
        </w:rPr>
        <w:t>, resulting in a transport cost</w:t>
      </w:r>
      <w:r w:rsidR="009B4BA5" w:rsidRPr="00670221">
        <w:rPr>
          <w:lang w:val="en-US"/>
        </w:rPr>
        <w:t xml:space="preserve"> of €15/ton</w:t>
      </w:r>
      <w:r w:rsidRPr="00670221">
        <w:rPr>
          <w:lang w:val="en-US"/>
        </w:rPr>
        <w:t>.</w:t>
      </w:r>
    </w:p>
    <w:tbl>
      <w:tblPr>
        <w:tblStyle w:val="TableGrid"/>
        <w:tblW w:w="0" w:type="auto"/>
        <w:tblLook w:val="04A0" w:firstRow="1" w:lastRow="0" w:firstColumn="1" w:lastColumn="0" w:noHBand="0" w:noVBand="1"/>
      </w:tblPr>
      <w:tblGrid>
        <w:gridCol w:w="2254"/>
        <w:gridCol w:w="2254"/>
        <w:gridCol w:w="2254"/>
        <w:gridCol w:w="2254"/>
      </w:tblGrid>
      <w:tr w:rsidR="00CA5E92" w:rsidRPr="00670221" w14:paraId="4BDF016A" w14:textId="77777777" w:rsidTr="00CA5E92">
        <w:tc>
          <w:tcPr>
            <w:tcW w:w="2254" w:type="dxa"/>
          </w:tcPr>
          <w:p w14:paraId="1050E4C0" w14:textId="66E611FF" w:rsidR="00CA5E92" w:rsidRPr="00670221" w:rsidRDefault="00CA5E92" w:rsidP="00543AA0">
            <w:pPr>
              <w:rPr>
                <w:b/>
                <w:bCs/>
                <w:sz w:val="20"/>
                <w:szCs w:val="20"/>
                <w:lang w:val="en-US"/>
              </w:rPr>
            </w:pPr>
            <w:r w:rsidRPr="00670221">
              <w:rPr>
                <w:b/>
                <w:bCs/>
                <w:sz w:val="20"/>
                <w:szCs w:val="20"/>
                <w:lang w:val="en-US"/>
              </w:rPr>
              <w:t>Cost component</w:t>
            </w:r>
          </w:p>
        </w:tc>
        <w:tc>
          <w:tcPr>
            <w:tcW w:w="2254" w:type="dxa"/>
          </w:tcPr>
          <w:p w14:paraId="6008C4E2" w14:textId="3E9DA7C6" w:rsidR="00CA5E92" w:rsidRPr="00670221" w:rsidRDefault="00CA5E92" w:rsidP="00543AA0">
            <w:pPr>
              <w:rPr>
                <w:b/>
                <w:bCs/>
                <w:sz w:val="20"/>
                <w:szCs w:val="20"/>
                <w:lang w:val="en-US"/>
              </w:rPr>
            </w:pPr>
            <w:r w:rsidRPr="00670221">
              <w:rPr>
                <w:b/>
                <w:bCs/>
                <w:sz w:val="20"/>
                <w:szCs w:val="20"/>
                <w:lang w:val="en-US"/>
              </w:rPr>
              <w:t>Unit</w:t>
            </w:r>
          </w:p>
        </w:tc>
        <w:tc>
          <w:tcPr>
            <w:tcW w:w="2254" w:type="dxa"/>
          </w:tcPr>
          <w:p w14:paraId="0A644D3B" w14:textId="200E4F66" w:rsidR="00CA5E92" w:rsidRPr="00670221" w:rsidRDefault="00CA5E92" w:rsidP="00543AA0">
            <w:pPr>
              <w:rPr>
                <w:b/>
                <w:bCs/>
                <w:sz w:val="20"/>
                <w:szCs w:val="20"/>
                <w:lang w:val="en-US"/>
              </w:rPr>
            </w:pPr>
            <w:r w:rsidRPr="00670221">
              <w:rPr>
                <w:b/>
                <w:bCs/>
                <w:sz w:val="20"/>
                <w:szCs w:val="20"/>
                <w:lang w:val="en-US"/>
              </w:rPr>
              <w:t>Average found for this study</w:t>
            </w:r>
          </w:p>
        </w:tc>
        <w:tc>
          <w:tcPr>
            <w:tcW w:w="2254" w:type="dxa"/>
          </w:tcPr>
          <w:p w14:paraId="44F37BBE" w14:textId="6806C8AA" w:rsidR="00CA5E92" w:rsidRPr="00670221" w:rsidRDefault="00CA5E92" w:rsidP="00543AA0">
            <w:pPr>
              <w:rPr>
                <w:b/>
                <w:bCs/>
                <w:sz w:val="20"/>
                <w:szCs w:val="20"/>
                <w:lang w:val="en-US"/>
              </w:rPr>
            </w:pPr>
            <w:r w:rsidRPr="00670221">
              <w:rPr>
                <w:b/>
                <w:bCs/>
                <w:sz w:val="20"/>
                <w:szCs w:val="20"/>
                <w:lang w:val="en-US"/>
              </w:rPr>
              <w:t>Assumed for this model</w:t>
            </w:r>
          </w:p>
        </w:tc>
      </w:tr>
      <w:tr w:rsidR="00CA5E92" w:rsidRPr="00670221" w14:paraId="057FB2EA" w14:textId="77777777" w:rsidTr="00CA5E92">
        <w:tc>
          <w:tcPr>
            <w:tcW w:w="2254" w:type="dxa"/>
          </w:tcPr>
          <w:p w14:paraId="45460DBC" w14:textId="1597AA5B" w:rsidR="00CA5E92" w:rsidRPr="00670221" w:rsidRDefault="00CA5E92" w:rsidP="00543AA0">
            <w:pPr>
              <w:jc w:val="center"/>
              <w:rPr>
                <w:sz w:val="20"/>
                <w:szCs w:val="20"/>
                <w:lang w:val="en-US"/>
              </w:rPr>
            </w:pPr>
            <w:r w:rsidRPr="00670221">
              <w:rPr>
                <w:sz w:val="20"/>
                <w:szCs w:val="20"/>
                <w:lang w:val="en-US"/>
              </w:rPr>
              <w:t xml:space="preserve">Capture costs high concentration CO2 stream </w:t>
            </w:r>
          </w:p>
        </w:tc>
        <w:tc>
          <w:tcPr>
            <w:tcW w:w="2254" w:type="dxa"/>
          </w:tcPr>
          <w:p w14:paraId="5637D226" w14:textId="766F27AB" w:rsidR="00CA5E92" w:rsidRPr="00670221" w:rsidRDefault="00CA5E92" w:rsidP="00543AA0">
            <w:pPr>
              <w:jc w:val="center"/>
              <w:rPr>
                <w:sz w:val="20"/>
                <w:szCs w:val="20"/>
                <w:lang w:val="en-US"/>
              </w:rPr>
            </w:pPr>
            <w:r w:rsidRPr="00670221">
              <w:rPr>
                <w:sz w:val="20"/>
                <w:szCs w:val="20"/>
                <w:lang w:val="en-US"/>
              </w:rPr>
              <w:t>(EUR/ton)</w:t>
            </w:r>
          </w:p>
        </w:tc>
        <w:tc>
          <w:tcPr>
            <w:tcW w:w="2254" w:type="dxa"/>
          </w:tcPr>
          <w:p w14:paraId="2B89B10D" w14:textId="1C9689F9" w:rsidR="00CA5E92" w:rsidRPr="00670221" w:rsidRDefault="00CA5E92" w:rsidP="00543AA0">
            <w:pPr>
              <w:jc w:val="center"/>
              <w:rPr>
                <w:sz w:val="20"/>
                <w:szCs w:val="20"/>
                <w:lang w:val="en-US"/>
              </w:rPr>
            </w:pPr>
            <w:r w:rsidRPr="00670221">
              <w:rPr>
                <w:sz w:val="20"/>
                <w:szCs w:val="20"/>
                <w:lang w:val="en-US"/>
              </w:rPr>
              <w:t>€ 20,86</w:t>
            </w:r>
          </w:p>
        </w:tc>
        <w:tc>
          <w:tcPr>
            <w:tcW w:w="2254" w:type="dxa"/>
          </w:tcPr>
          <w:p w14:paraId="5C5A0BB3" w14:textId="00270A8F" w:rsidR="00CA5E92" w:rsidRPr="00670221" w:rsidRDefault="00CA5E92" w:rsidP="00543AA0">
            <w:pPr>
              <w:jc w:val="center"/>
              <w:rPr>
                <w:sz w:val="20"/>
                <w:szCs w:val="20"/>
                <w:lang w:val="en-US"/>
              </w:rPr>
            </w:pPr>
            <w:r w:rsidRPr="00670221">
              <w:rPr>
                <w:sz w:val="20"/>
                <w:szCs w:val="20"/>
                <w:lang w:val="en-US"/>
              </w:rPr>
              <w:t>€ 20,00</w:t>
            </w:r>
          </w:p>
        </w:tc>
      </w:tr>
      <w:tr w:rsidR="00CA5E92" w:rsidRPr="00670221" w14:paraId="258505A1" w14:textId="77777777" w:rsidTr="00CA5E92">
        <w:tc>
          <w:tcPr>
            <w:tcW w:w="2254" w:type="dxa"/>
          </w:tcPr>
          <w:p w14:paraId="0EFF692B" w14:textId="56F2835A" w:rsidR="00CA5E92" w:rsidRPr="00670221" w:rsidRDefault="00CA5E92" w:rsidP="00543AA0">
            <w:pPr>
              <w:jc w:val="center"/>
              <w:rPr>
                <w:sz w:val="20"/>
                <w:szCs w:val="20"/>
                <w:lang w:val="en-US"/>
              </w:rPr>
            </w:pPr>
            <w:r w:rsidRPr="00670221">
              <w:rPr>
                <w:sz w:val="20"/>
                <w:szCs w:val="20"/>
                <w:lang w:val="en-US"/>
              </w:rPr>
              <w:t xml:space="preserve">Capture costs low concentration CO2 stream </w:t>
            </w:r>
          </w:p>
        </w:tc>
        <w:tc>
          <w:tcPr>
            <w:tcW w:w="2254" w:type="dxa"/>
          </w:tcPr>
          <w:p w14:paraId="225EFD35" w14:textId="2151B752" w:rsidR="00CA5E92" w:rsidRPr="00670221" w:rsidRDefault="00CA5E92" w:rsidP="00543AA0">
            <w:pPr>
              <w:jc w:val="center"/>
              <w:rPr>
                <w:sz w:val="20"/>
                <w:szCs w:val="20"/>
                <w:lang w:val="en-US"/>
              </w:rPr>
            </w:pPr>
            <w:r w:rsidRPr="00670221">
              <w:rPr>
                <w:sz w:val="20"/>
                <w:szCs w:val="20"/>
                <w:lang w:val="en-US"/>
              </w:rPr>
              <w:t>(EUR/ton)</w:t>
            </w:r>
          </w:p>
        </w:tc>
        <w:tc>
          <w:tcPr>
            <w:tcW w:w="2254" w:type="dxa"/>
          </w:tcPr>
          <w:p w14:paraId="777245E6" w14:textId="00E66936" w:rsidR="00CA5E92" w:rsidRPr="00670221" w:rsidRDefault="00CA5E92" w:rsidP="00543AA0">
            <w:pPr>
              <w:jc w:val="center"/>
              <w:rPr>
                <w:sz w:val="20"/>
                <w:szCs w:val="20"/>
                <w:lang w:val="en-US"/>
              </w:rPr>
            </w:pPr>
            <w:r w:rsidRPr="00670221">
              <w:rPr>
                <w:sz w:val="20"/>
                <w:szCs w:val="20"/>
                <w:lang w:val="en-US"/>
              </w:rPr>
              <w:t>€ 62,18</w:t>
            </w:r>
          </w:p>
        </w:tc>
        <w:tc>
          <w:tcPr>
            <w:tcW w:w="2254" w:type="dxa"/>
          </w:tcPr>
          <w:p w14:paraId="75F079FE" w14:textId="3A51735E" w:rsidR="00CA5E92" w:rsidRPr="00670221" w:rsidRDefault="00CA5E92" w:rsidP="00543AA0">
            <w:pPr>
              <w:jc w:val="center"/>
              <w:rPr>
                <w:sz w:val="20"/>
                <w:szCs w:val="20"/>
                <w:lang w:val="en-US"/>
              </w:rPr>
            </w:pPr>
            <w:r w:rsidRPr="00670221">
              <w:rPr>
                <w:sz w:val="20"/>
                <w:szCs w:val="20"/>
                <w:lang w:val="en-US"/>
              </w:rPr>
              <w:t>€ 75,00</w:t>
            </w:r>
          </w:p>
        </w:tc>
      </w:tr>
      <w:tr w:rsidR="00CA5E92" w:rsidRPr="00670221" w14:paraId="33EFDC3E" w14:textId="77777777" w:rsidTr="00CA5E92">
        <w:tc>
          <w:tcPr>
            <w:tcW w:w="2254" w:type="dxa"/>
          </w:tcPr>
          <w:p w14:paraId="7B35AACE" w14:textId="2F0912F0" w:rsidR="00CA5E92" w:rsidRPr="00670221" w:rsidRDefault="00CA5E92" w:rsidP="00543AA0">
            <w:pPr>
              <w:jc w:val="center"/>
              <w:rPr>
                <w:sz w:val="20"/>
                <w:szCs w:val="20"/>
                <w:lang w:val="en-US"/>
              </w:rPr>
            </w:pPr>
            <w:r w:rsidRPr="00670221">
              <w:rPr>
                <w:sz w:val="20"/>
                <w:szCs w:val="20"/>
                <w:lang w:val="en-US"/>
              </w:rPr>
              <w:t xml:space="preserve">Transport costs </w:t>
            </w:r>
          </w:p>
        </w:tc>
        <w:tc>
          <w:tcPr>
            <w:tcW w:w="2254" w:type="dxa"/>
          </w:tcPr>
          <w:p w14:paraId="589BB21E" w14:textId="0A285CD4" w:rsidR="00CA5E92" w:rsidRPr="00670221" w:rsidRDefault="00CA5E92" w:rsidP="00543AA0">
            <w:pPr>
              <w:jc w:val="center"/>
              <w:rPr>
                <w:sz w:val="20"/>
                <w:szCs w:val="20"/>
                <w:lang w:val="en-US"/>
              </w:rPr>
            </w:pPr>
            <w:r w:rsidRPr="00670221">
              <w:rPr>
                <w:sz w:val="20"/>
                <w:szCs w:val="20"/>
                <w:lang w:val="en-US"/>
              </w:rPr>
              <w:t>(EUR/ton)</w:t>
            </w:r>
          </w:p>
        </w:tc>
        <w:tc>
          <w:tcPr>
            <w:tcW w:w="2254" w:type="dxa"/>
          </w:tcPr>
          <w:p w14:paraId="54E69F50" w14:textId="7446BBB3" w:rsidR="00CA5E92" w:rsidRPr="00670221" w:rsidRDefault="00CA5E92" w:rsidP="00543AA0">
            <w:pPr>
              <w:jc w:val="center"/>
              <w:rPr>
                <w:sz w:val="20"/>
                <w:szCs w:val="20"/>
                <w:lang w:val="en-US"/>
              </w:rPr>
            </w:pPr>
            <w:r w:rsidRPr="00670221">
              <w:rPr>
                <w:sz w:val="20"/>
                <w:szCs w:val="20"/>
                <w:lang w:val="en-US"/>
              </w:rPr>
              <w:t>€ 15,59</w:t>
            </w:r>
          </w:p>
        </w:tc>
        <w:tc>
          <w:tcPr>
            <w:tcW w:w="2254" w:type="dxa"/>
          </w:tcPr>
          <w:p w14:paraId="2E7AB148" w14:textId="21DC5F96" w:rsidR="00CA5E92" w:rsidRPr="00670221" w:rsidRDefault="00CA5E92" w:rsidP="00543AA0">
            <w:pPr>
              <w:jc w:val="center"/>
              <w:rPr>
                <w:sz w:val="20"/>
                <w:szCs w:val="20"/>
                <w:lang w:val="en-US"/>
              </w:rPr>
            </w:pPr>
            <w:r w:rsidRPr="00670221">
              <w:rPr>
                <w:sz w:val="20"/>
                <w:szCs w:val="20"/>
                <w:lang w:val="en-US"/>
              </w:rPr>
              <w:t>€ 15,00</w:t>
            </w:r>
          </w:p>
        </w:tc>
      </w:tr>
      <w:tr w:rsidR="00CA5E92" w:rsidRPr="00670221" w14:paraId="6C859EAB" w14:textId="77777777" w:rsidTr="00CA5E92">
        <w:tc>
          <w:tcPr>
            <w:tcW w:w="2254" w:type="dxa"/>
          </w:tcPr>
          <w:p w14:paraId="13E0FC23" w14:textId="3A00FF9B" w:rsidR="00CA5E92" w:rsidRPr="00670221" w:rsidRDefault="00CA5E92" w:rsidP="00543AA0">
            <w:pPr>
              <w:jc w:val="center"/>
              <w:rPr>
                <w:sz w:val="20"/>
                <w:szCs w:val="20"/>
                <w:lang w:val="en-US"/>
              </w:rPr>
            </w:pPr>
            <w:r w:rsidRPr="00670221">
              <w:rPr>
                <w:sz w:val="20"/>
                <w:szCs w:val="20"/>
                <w:lang w:val="en-US"/>
              </w:rPr>
              <w:t xml:space="preserve">Purification/liquefaction </w:t>
            </w:r>
          </w:p>
        </w:tc>
        <w:tc>
          <w:tcPr>
            <w:tcW w:w="2254" w:type="dxa"/>
          </w:tcPr>
          <w:p w14:paraId="7E6EBD87" w14:textId="535AA145" w:rsidR="00CA5E92" w:rsidRPr="00670221" w:rsidRDefault="00CA5E92" w:rsidP="00543AA0">
            <w:pPr>
              <w:jc w:val="center"/>
              <w:rPr>
                <w:sz w:val="20"/>
                <w:szCs w:val="20"/>
                <w:lang w:val="en-US"/>
              </w:rPr>
            </w:pPr>
            <w:r w:rsidRPr="00670221">
              <w:rPr>
                <w:sz w:val="20"/>
                <w:szCs w:val="20"/>
                <w:lang w:val="en-US"/>
              </w:rPr>
              <w:t>(kWh/ton)</w:t>
            </w:r>
          </w:p>
        </w:tc>
        <w:tc>
          <w:tcPr>
            <w:tcW w:w="2254" w:type="dxa"/>
          </w:tcPr>
          <w:p w14:paraId="39357460" w14:textId="567FC328" w:rsidR="00CA5E92" w:rsidRPr="00670221" w:rsidRDefault="00CA5E92" w:rsidP="00543AA0">
            <w:pPr>
              <w:jc w:val="center"/>
              <w:rPr>
                <w:sz w:val="20"/>
                <w:szCs w:val="20"/>
                <w:lang w:val="en-US"/>
              </w:rPr>
            </w:pPr>
            <w:r w:rsidRPr="00670221">
              <w:rPr>
                <w:sz w:val="20"/>
                <w:szCs w:val="20"/>
                <w:lang w:val="en-US"/>
              </w:rPr>
              <w:t>164,67</w:t>
            </w:r>
          </w:p>
        </w:tc>
        <w:tc>
          <w:tcPr>
            <w:tcW w:w="2254" w:type="dxa"/>
          </w:tcPr>
          <w:p w14:paraId="52BE606A" w14:textId="7ED64BDE" w:rsidR="00CA5E92" w:rsidRPr="00670221" w:rsidRDefault="00CA5E92" w:rsidP="00543AA0">
            <w:pPr>
              <w:jc w:val="center"/>
              <w:rPr>
                <w:sz w:val="20"/>
                <w:szCs w:val="20"/>
                <w:lang w:val="en-US"/>
              </w:rPr>
            </w:pPr>
            <w:r w:rsidRPr="00670221">
              <w:rPr>
                <w:sz w:val="20"/>
                <w:szCs w:val="20"/>
                <w:lang w:val="en-US"/>
              </w:rPr>
              <w:t>130,00</w:t>
            </w:r>
          </w:p>
        </w:tc>
      </w:tr>
      <w:tr w:rsidR="00CA5E92" w:rsidRPr="00670221" w14:paraId="46B140B0" w14:textId="77777777" w:rsidTr="00CA5E92">
        <w:tc>
          <w:tcPr>
            <w:tcW w:w="2254" w:type="dxa"/>
          </w:tcPr>
          <w:p w14:paraId="5D24EFFE" w14:textId="4F4F0422" w:rsidR="00CA5E92" w:rsidRPr="00670221" w:rsidRDefault="00CA5E92" w:rsidP="00543AA0">
            <w:pPr>
              <w:jc w:val="center"/>
              <w:rPr>
                <w:sz w:val="20"/>
                <w:szCs w:val="20"/>
                <w:lang w:val="en-US"/>
              </w:rPr>
            </w:pPr>
            <w:r w:rsidRPr="00670221">
              <w:rPr>
                <w:sz w:val="20"/>
                <w:szCs w:val="20"/>
                <w:lang w:val="en-US"/>
              </w:rPr>
              <w:lastRenderedPageBreak/>
              <w:t xml:space="preserve">Annualized fixed CAPEX + OPEX </w:t>
            </w:r>
          </w:p>
        </w:tc>
        <w:tc>
          <w:tcPr>
            <w:tcW w:w="2254" w:type="dxa"/>
          </w:tcPr>
          <w:p w14:paraId="37A8FED5" w14:textId="255E76FA" w:rsidR="00CA5E92" w:rsidRPr="00670221" w:rsidRDefault="00CA5E92" w:rsidP="00543AA0">
            <w:pPr>
              <w:jc w:val="center"/>
              <w:rPr>
                <w:sz w:val="20"/>
                <w:szCs w:val="20"/>
                <w:lang w:val="en-US"/>
              </w:rPr>
            </w:pPr>
            <w:r w:rsidRPr="00670221">
              <w:rPr>
                <w:sz w:val="20"/>
                <w:szCs w:val="20"/>
                <w:lang w:val="en-US"/>
              </w:rPr>
              <w:t>(EUR/ton)</w:t>
            </w:r>
          </w:p>
        </w:tc>
        <w:tc>
          <w:tcPr>
            <w:tcW w:w="2254" w:type="dxa"/>
          </w:tcPr>
          <w:p w14:paraId="6D17D670" w14:textId="35FFF6BA" w:rsidR="00CA5E92" w:rsidRPr="00670221" w:rsidRDefault="00CA5E92" w:rsidP="00543AA0">
            <w:pPr>
              <w:jc w:val="center"/>
              <w:rPr>
                <w:sz w:val="20"/>
                <w:szCs w:val="20"/>
                <w:lang w:val="en-US"/>
              </w:rPr>
            </w:pPr>
            <w:r w:rsidRPr="00670221">
              <w:rPr>
                <w:sz w:val="20"/>
                <w:szCs w:val="20"/>
                <w:lang w:val="en-US"/>
              </w:rPr>
              <w:t>€ 13,44</w:t>
            </w:r>
          </w:p>
        </w:tc>
        <w:tc>
          <w:tcPr>
            <w:tcW w:w="2254" w:type="dxa"/>
          </w:tcPr>
          <w:p w14:paraId="468A677F" w14:textId="51C7F544" w:rsidR="00CA5E92" w:rsidRPr="00670221" w:rsidRDefault="00CA5E92" w:rsidP="00543AA0">
            <w:pPr>
              <w:keepNext/>
              <w:jc w:val="center"/>
              <w:rPr>
                <w:sz w:val="20"/>
                <w:szCs w:val="20"/>
                <w:lang w:val="en-US"/>
              </w:rPr>
            </w:pPr>
            <w:r w:rsidRPr="00670221">
              <w:rPr>
                <w:sz w:val="20"/>
                <w:szCs w:val="20"/>
                <w:lang w:val="en-US"/>
              </w:rPr>
              <w:t>€ 10,00</w:t>
            </w:r>
          </w:p>
        </w:tc>
      </w:tr>
    </w:tbl>
    <w:p w14:paraId="23D0CA6E" w14:textId="39F4EC05" w:rsidR="00543AA0" w:rsidRPr="00670221" w:rsidRDefault="00543AA0" w:rsidP="0089624C">
      <w:pPr>
        <w:pStyle w:val="Caption"/>
        <w:rPr>
          <w:lang w:val="en-US"/>
        </w:rPr>
      </w:pPr>
      <w:bookmarkStart w:id="88" w:name="_Toc184403592"/>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3</w:t>
      </w:r>
      <w:r w:rsidR="00EF60A5" w:rsidRPr="00670221">
        <w:rPr>
          <w:lang w:val="en-US"/>
        </w:rPr>
        <w:fldChar w:fldCharType="end"/>
      </w:r>
      <w:r w:rsidRPr="00670221">
        <w:rPr>
          <w:lang w:val="en-US"/>
        </w:rPr>
        <w:t>: Key assumptions regarding the cost of carbon</w:t>
      </w:r>
      <w:bookmarkEnd w:id="88"/>
    </w:p>
    <w:p w14:paraId="46717DEF" w14:textId="77777777" w:rsidR="0089624C" w:rsidRPr="00670221" w:rsidRDefault="0089624C" w:rsidP="0089624C">
      <w:pPr>
        <w:rPr>
          <w:lang w:val="en-US"/>
        </w:rPr>
      </w:pPr>
    </w:p>
    <w:tbl>
      <w:tblPr>
        <w:tblStyle w:val="TableGrid"/>
        <w:tblW w:w="0" w:type="auto"/>
        <w:jc w:val="center"/>
        <w:tblLook w:val="04A0" w:firstRow="1" w:lastRow="0" w:firstColumn="1" w:lastColumn="0" w:noHBand="0" w:noVBand="1"/>
      </w:tblPr>
      <w:tblGrid>
        <w:gridCol w:w="5240"/>
      </w:tblGrid>
      <w:tr w:rsidR="00543AA0" w:rsidRPr="00670221" w14:paraId="473064BA" w14:textId="77777777" w:rsidTr="00543AA0">
        <w:trPr>
          <w:jc w:val="center"/>
        </w:trPr>
        <w:tc>
          <w:tcPr>
            <w:tcW w:w="5240" w:type="dxa"/>
          </w:tcPr>
          <w:p w14:paraId="379AC2D0" w14:textId="242AC771" w:rsidR="00543AA0" w:rsidRPr="00670221" w:rsidRDefault="00543AA0" w:rsidP="00543AA0">
            <w:pPr>
              <w:rPr>
                <w:b/>
                <w:bCs/>
                <w:sz w:val="20"/>
                <w:szCs w:val="20"/>
                <w:lang w:val="en-US"/>
              </w:rPr>
            </w:pPr>
            <w:r w:rsidRPr="00670221">
              <w:rPr>
                <w:b/>
                <w:bCs/>
                <w:sz w:val="20"/>
                <w:szCs w:val="20"/>
                <w:lang w:val="en-US"/>
              </w:rPr>
              <w:t>Alternative</w:t>
            </w:r>
          </w:p>
        </w:tc>
      </w:tr>
      <w:tr w:rsidR="00543AA0" w:rsidRPr="00670221" w14:paraId="3FE55EAB" w14:textId="77777777" w:rsidTr="00543AA0">
        <w:trPr>
          <w:jc w:val="center"/>
        </w:trPr>
        <w:tc>
          <w:tcPr>
            <w:tcW w:w="5240" w:type="dxa"/>
          </w:tcPr>
          <w:p w14:paraId="26951222" w14:textId="503D214A" w:rsidR="00543AA0" w:rsidRPr="00670221" w:rsidRDefault="00543AA0" w:rsidP="00543AA0">
            <w:pPr>
              <w:rPr>
                <w:sz w:val="20"/>
                <w:szCs w:val="20"/>
                <w:lang w:val="en-US"/>
              </w:rPr>
            </w:pPr>
            <w:r w:rsidRPr="00670221">
              <w:rPr>
                <w:sz w:val="20"/>
                <w:szCs w:val="20"/>
                <w:lang w:val="en-US"/>
              </w:rPr>
              <w:t>High concentration biogenic</w:t>
            </w:r>
          </w:p>
        </w:tc>
      </w:tr>
      <w:tr w:rsidR="00543AA0" w:rsidRPr="00670221" w14:paraId="52E3436D" w14:textId="77777777" w:rsidTr="00543AA0">
        <w:trPr>
          <w:jc w:val="center"/>
        </w:trPr>
        <w:tc>
          <w:tcPr>
            <w:tcW w:w="5240" w:type="dxa"/>
          </w:tcPr>
          <w:p w14:paraId="5D6DA86D" w14:textId="46E00848" w:rsidR="00543AA0" w:rsidRPr="00670221" w:rsidRDefault="00543AA0" w:rsidP="00543AA0">
            <w:pPr>
              <w:rPr>
                <w:sz w:val="20"/>
                <w:szCs w:val="20"/>
                <w:lang w:val="en-US"/>
              </w:rPr>
            </w:pPr>
            <w:r w:rsidRPr="00670221">
              <w:rPr>
                <w:sz w:val="20"/>
                <w:szCs w:val="20"/>
                <w:lang w:val="en-US"/>
              </w:rPr>
              <w:t>Low concentration biogenic</w:t>
            </w:r>
          </w:p>
        </w:tc>
      </w:tr>
      <w:tr w:rsidR="00543AA0" w:rsidRPr="00670221" w14:paraId="22BAF252" w14:textId="77777777" w:rsidTr="00543AA0">
        <w:trPr>
          <w:jc w:val="center"/>
        </w:trPr>
        <w:tc>
          <w:tcPr>
            <w:tcW w:w="5240" w:type="dxa"/>
          </w:tcPr>
          <w:p w14:paraId="739E80AA" w14:textId="7AD78FA3" w:rsidR="00543AA0" w:rsidRPr="00670221" w:rsidRDefault="00543AA0" w:rsidP="00543AA0">
            <w:pPr>
              <w:rPr>
                <w:sz w:val="20"/>
                <w:szCs w:val="20"/>
                <w:lang w:val="en-US"/>
              </w:rPr>
            </w:pPr>
            <w:r w:rsidRPr="00670221">
              <w:rPr>
                <w:sz w:val="20"/>
                <w:szCs w:val="20"/>
                <w:lang w:val="en-US"/>
              </w:rPr>
              <w:t>High concentration fossil</w:t>
            </w:r>
          </w:p>
        </w:tc>
      </w:tr>
      <w:tr w:rsidR="00543AA0" w:rsidRPr="00670221" w14:paraId="01AC1C0D" w14:textId="77777777" w:rsidTr="00543AA0">
        <w:trPr>
          <w:trHeight w:val="83"/>
          <w:jc w:val="center"/>
        </w:trPr>
        <w:tc>
          <w:tcPr>
            <w:tcW w:w="5240" w:type="dxa"/>
          </w:tcPr>
          <w:p w14:paraId="78EEF14D" w14:textId="509B84B0" w:rsidR="00543AA0" w:rsidRPr="00670221" w:rsidRDefault="00543AA0" w:rsidP="00543AA0">
            <w:pPr>
              <w:keepNext/>
              <w:rPr>
                <w:sz w:val="20"/>
                <w:szCs w:val="20"/>
                <w:lang w:val="en-US"/>
              </w:rPr>
            </w:pPr>
            <w:r w:rsidRPr="00670221">
              <w:rPr>
                <w:sz w:val="20"/>
                <w:szCs w:val="20"/>
                <w:lang w:val="en-US"/>
              </w:rPr>
              <w:t>Low concentration fossil</w:t>
            </w:r>
          </w:p>
        </w:tc>
      </w:tr>
    </w:tbl>
    <w:p w14:paraId="47EBFECB" w14:textId="1A48DF6A" w:rsidR="00543AA0" w:rsidRPr="00670221" w:rsidRDefault="00543AA0" w:rsidP="00543AA0">
      <w:pPr>
        <w:pStyle w:val="Caption"/>
        <w:rPr>
          <w:lang w:val="en-US"/>
        </w:rPr>
      </w:pPr>
      <w:bookmarkStart w:id="89" w:name="_Toc184403593"/>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4</w:t>
      </w:r>
      <w:r w:rsidR="00EF60A5" w:rsidRPr="00670221">
        <w:rPr>
          <w:lang w:val="en-US"/>
        </w:rPr>
        <w:fldChar w:fldCharType="end"/>
      </w:r>
      <w:r w:rsidRPr="00670221">
        <w:rPr>
          <w:lang w:val="en-US"/>
        </w:rPr>
        <w:t xml:space="preserve">: Classification of alternative </w:t>
      </w:r>
      <w:r w:rsidR="00764907" w:rsidRPr="00670221">
        <w:rPr>
          <w:lang w:val="en-US"/>
        </w:rPr>
        <w:t>CO</w:t>
      </w:r>
      <w:r w:rsidR="00764907" w:rsidRPr="00764907">
        <w:rPr>
          <w:vertAlign w:val="subscript"/>
          <w:lang w:val="en-US"/>
        </w:rPr>
        <w:t>2</w:t>
      </w:r>
      <w:r w:rsidR="00764907">
        <w:rPr>
          <w:vertAlign w:val="subscript"/>
          <w:lang w:val="en-US"/>
        </w:rPr>
        <w:t xml:space="preserve"> </w:t>
      </w:r>
      <w:r w:rsidRPr="00670221">
        <w:rPr>
          <w:lang w:val="en-US"/>
        </w:rPr>
        <w:t>source</w:t>
      </w:r>
      <w:r w:rsidR="00100D5D" w:rsidRPr="00670221">
        <w:rPr>
          <w:lang w:val="en-US"/>
        </w:rPr>
        <w:t>s</w:t>
      </w:r>
      <w:bookmarkEnd w:id="89"/>
    </w:p>
    <w:p w14:paraId="3ECF1B23" w14:textId="77777777" w:rsidR="00543AA0" w:rsidRPr="00670221" w:rsidRDefault="00543AA0" w:rsidP="00723F4B">
      <w:pPr>
        <w:rPr>
          <w:lang w:val="en-US"/>
        </w:rPr>
      </w:pPr>
    </w:p>
    <w:p w14:paraId="6D1AB070" w14:textId="77777777" w:rsidR="00723F4B" w:rsidRPr="00670221" w:rsidRDefault="00723F4B" w:rsidP="00100D5D">
      <w:pPr>
        <w:pStyle w:val="Heading3"/>
      </w:pPr>
      <w:bookmarkStart w:id="90" w:name="_Toc184403451"/>
      <w:r w:rsidRPr="00670221">
        <w:t>EU ETS Price</w:t>
      </w:r>
      <w:bookmarkEnd w:id="90"/>
    </w:p>
    <w:p w14:paraId="2C4A1526" w14:textId="256FE1FB" w:rsidR="00E80C8D" w:rsidRPr="00670221" w:rsidRDefault="00723F4B" w:rsidP="00723F4B">
      <w:pPr>
        <w:rPr>
          <w:lang w:val="en-US"/>
        </w:rPr>
      </w:pPr>
      <w:r w:rsidRPr="00670221">
        <w:rPr>
          <w:lang w:val="en-US"/>
        </w:rPr>
        <w:t xml:space="preserve">For </w:t>
      </w:r>
      <w:r w:rsidR="00100D5D" w:rsidRPr="00670221">
        <w:rPr>
          <w:lang w:val="en-US"/>
        </w:rPr>
        <w:t>fossil</w:t>
      </w:r>
      <w:r w:rsidRPr="00670221">
        <w:rPr>
          <w:lang w:val="en-US"/>
        </w:rPr>
        <w:t xml:space="preserve"> CO</w:t>
      </w:r>
      <w:r w:rsidRPr="00764907">
        <w:rPr>
          <w:vertAlign w:val="subscript"/>
          <w:lang w:val="en-US"/>
        </w:rPr>
        <w:t>2</w:t>
      </w:r>
      <w:r w:rsidRPr="00670221">
        <w:rPr>
          <w:lang w:val="en-US"/>
        </w:rPr>
        <w:t xml:space="preserve"> sources, the cost of carbon also include</w:t>
      </w:r>
      <w:r w:rsidR="00100D5D" w:rsidRPr="00670221">
        <w:rPr>
          <w:lang w:val="en-US"/>
        </w:rPr>
        <w:t>d</w:t>
      </w:r>
      <w:r w:rsidRPr="00670221">
        <w:rPr>
          <w:lang w:val="en-US"/>
        </w:rPr>
        <w:t xml:space="preserve"> the EU ETS price. A report from a workshop organized by the Federal Ministry of Education and Research provided the basis for forecasting the EU ETS price</w:t>
      </w:r>
      <w:r w:rsidR="00BC2A04" w:rsidRPr="00670221">
        <w:rPr>
          <w:lang w:val="en-US"/>
        </w:rPr>
        <w:t xml:space="preserve"> (</w:t>
      </w:r>
      <w:proofErr w:type="spellStart"/>
      <w:r w:rsidR="00FA6633" w:rsidRPr="00670221">
        <w:rPr>
          <w:lang w:val="en-US"/>
        </w:rPr>
        <w:t>Kopernikus</w:t>
      </w:r>
      <w:proofErr w:type="spellEnd"/>
      <w:r w:rsidR="00FA6633" w:rsidRPr="00670221">
        <w:rPr>
          <w:lang w:val="en-US"/>
        </w:rPr>
        <w:t>-Projekt Ariadne, 2023</w:t>
      </w:r>
      <w:r w:rsidR="00BC2A04" w:rsidRPr="00670221">
        <w:rPr>
          <w:lang w:val="en-US"/>
        </w:rPr>
        <w:t>)</w:t>
      </w:r>
      <w:r w:rsidRPr="00670221">
        <w:rPr>
          <w:lang w:val="en-US"/>
        </w:rPr>
        <w:t>. The workshop</w:t>
      </w:r>
      <w:r w:rsidR="00683E91" w:rsidRPr="00670221">
        <w:rPr>
          <w:lang w:val="en-US"/>
        </w:rPr>
        <w:t xml:space="preserve"> </w:t>
      </w:r>
      <w:r w:rsidRPr="00670221">
        <w:rPr>
          <w:lang w:val="en-US"/>
        </w:rPr>
        <w:t xml:space="preserve">included experts </w:t>
      </w:r>
      <w:r w:rsidR="00E80C8D" w:rsidRPr="00670221">
        <w:rPr>
          <w:lang w:val="en-US"/>
        </w:rPr>
        <w:t xml:space="preserve">and academics </w:t>
      </w:r>
      <w:r w:rsidRPr="00670221">
        <w:rPr>
          <w:lang w:val="en-US"/>
        </w:rPr>
        <w:t>from multiple organizations specializing in carbon market modeling</w:t>
      </w:r>
      <w:r w:rsidR="00E80C8D" w:rsidRPr="00670221">
        <w:rPr>
          <w:lang w:val="en-US"/>
        </w:rPr>
        <w:t>.</w:t>
      </w:r>
      <w:r w:rsidRPr="00670221">
        <w:rPr>
          <w:lang w:val="en-US"/>
        </w:rPr>
        <w:t xml:space="preserve"> The forecasted ETS prices were used to estimate the carbon tax component, with the standard deviation from the forecast providing upper and lower bounds</w:t>
      </w:r>
      <w:r w:rsidR="001501AA" w:rsidRPr="00670221">
        <w:rPr>
          <w:lang w:val="en-US"/>
        </w:rPr>
        <w:t xml:space="preserve"> </w:t>
      </w:r>
      <w:r w:rsidRPr="00670221">
        <w:rPr>
          <w:lang w:val="en-US"/>
        </w:rPr>
        <w:t xml:space="preserve">for sensitivity analysis. </w:t>
      </w:r>
    </w:p>
    <w:p w14:paraId="6A072226" w14:textId="0DF024CE" w:rsidR="00100D5D" w:rsidRPr="00670221" w:rsidRDefault="00E80C8D" w:rsidP="00E80C8D">
      <w:pPr>
        <w:rPr>
          <w:lang w:val="en-US"/>
        </w:rPr>
      </w:pPr>
      <w:r w:rsidRPr="00670221">
        <w:rPr>
          <w:lang w:val="en-US"/>
        </w:rPr>
        <w:t>To project the EU ETS carbon price for 2041, trendline analysis was conducted in Excel using data from 2025 to 2040. A 4th-degree polynomial was selected, as it provided the best fit for the data, accurately capturing the nonlinear behavior of carbon prices influenced by regulatory and market factors. The trendline formula generated from this analysis was then used to extrapolate price</w:t>
      </w:r>
      <w:r w:rsidR="000D4468" w:rsidRPr="00670221">
        <w:rPr>
          <w:lang w:val="en-US"/>
        </w:rPr>
        <w:t xml:space="preserve"> data</w:t>
      </w:r>
      <w:r w:rsidRPr="00670221">
        <w:rPr>
          <w:lang w:val="en-US"/>
        </w:rPr>
        <w:t xml:space="preserve"> for 2041.</w:t>
      </w:r>
      <w:r w:rsidR="00683E91" w:rsidRPr="00670221">
        <w:rPr>
          <w:lang w:val="en-US"/>
        </w:rPr>
        <w:t xml:space="preserve"> The results are depicted in the graph below.</w:t>
      </w:r>
      <w:r w:rsidR="00100D5D" w:rsidRPr="00670221">
        <w:rPr>
          <w:lang w:val="en-US"/>
        </w:rPr>
        <w:t xml:space="preserve"> This projected cost was added to fossil CO₂ sources to facilitate fair comparisons with biogenic CO₂, and DAC carbon, and to conventional jet fuel prices (adjusted for carbon emissions) to enable comparison with </w:t>
      </w:r>
      <w:proofErr w:type="spellStart"/>
      <w:r w:rsidR="00100D5D" w:rsidRPr="00670221">
        <w:rPr>
          <w:lang w:val="en-US"/>
        </w:rPr>
        <w:t>eSAF</w:t>
      </w:r>
      <w:proofErr w:type="spellEnd"/>
      <w:r w:rsidR="00100D5D" w:rsidRPr="00670221">
        <w:rPr>
          <w:lang w:val="en-US"/>
        </w:rPr>
        <w:t xml:space="preserve"> prices.</w:t>
      </w:r>
    </w:p>
    <w:p w14:paraId="439FBD7E" w14:textId="3EC5C3FA" w:rsidR="00683E91" w:rsidRPr="00670221" w:rsidRDefault="006D761C" w:rsidP="00683E91">
      <w:pPr>
        <w:keepNext/>
        <w:jc w:val="center"/>
        <w:rPr>
          <w:lang w:val="en-US"/>
        </w:rPr>
      </w:pPr>
      <w:r w:rsidRPr="00670221">
        <w:rPr>
          <w:noProof/>
          <w:lang w:val="en-US"/>
        </w:rPr>
        <w:lastRenderedPageBreak/>
        <w:drawing>
          <wp:inline distT="0" distB="0" distL="0" distR="0" wp14:anchorId="63F64B68" wp14:editId="43FC2350">
            <wp:extent cx="5731510" cy="3820795"/>
            <wp:effectExtent l="0" t="0" r="0" b="1905"/>
            <wp:docPr id="1067926739" name="Picture 1" descr="A graph showing the price of the e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26739" name="Picture 1" descr="A graph showing the price of the eu&#10;&#10;Description automatically generated"/>
                    <pic:cNvPicPr/>
                  </pic:nvPicPr>
                  <pic:blipFill>
                    <a:blip r:embed="rId41"/>
                    <a:stretch>
                      <a:fillRect/>
                    </a:stretch>
                  </pic:blipFill>
                  <pic:spPr>
                    <a:xfrm>
                      <a:off x="0" y="0"/>
                      <a:ext cx="5731510" cy="3820795"/>
                    </a:xfrm>
                    <a:prstGeom prst="rect">
                      <a:avLst/>
                    </a:prstGeom>
                  </pic:spPr>
                </pic:pic>
              </a:graphicData>
            </a:graphic>
          </wp:inline>
        </w:drawing>
      </w:r>
    </w:p>
    <w:p w14:paraId="73370AAE" w14:textId="0508F631" w:rsidR="00147C16" w:rsidRPr="00670221" w:rsidRDefault="00683E91" w:rsidP="00CE3FAC">
      <w:pPr>
        <w:pStyle w:val="Caption"/>
        <w:rPr>
          <w:lang w:val="en-US"/>
        </w:rPr>
      </w:pPr>
      <w:bookmarkStart w:id="91" w:name="_Toc184403559"/>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5</w:t>
      </w:r>
      <w:r w:rsidR="002A3EA2" w:rsidRPr="00670221">
        <w:rPr>
          <w:lang w:val="en-US"/>
        </w:rPr>
        <w:fldChar w:fldCharType="end"/>
      </w:r>
      <w:r w:rsidRPr="00670221">
        <w:rPr>
          <w:lang w:val="en-US"/>
        </w:rPr>
        <w:t>: EU ETS price forecast for 2025 to 2041. Data obtained from 6 organizations specialized in carbon market models</w:t>
      </w:r>
      <w:r w:rsidR="00147C16" w:rsidRPr="00670221">
        <w:rPr>
          <w:lang w:val="en-US"/>
        </w:rPr>
        <w:t xml:space="preserve"> (</w:t>
      </w:r>
      <w:proofErr w:type="spellStart"/>
      <w:r w:rsidR="00147C16" w:rsidRPr="00670221">
        <w:rPr>
          <w:lang w:val="en-US"/>
        </w:rPr>
        <w:t>Kopernikus</w:t>
      </w:r>
      <w:proofErr w:type="spellEnd"/>
      <w:r w:rsidR="00147C16" w:rsidRPr="00670221">
        <w:rPr>
          <w:lang w:val="en-US"/>
        </w:rPr>
        <w:t>-Projekt Ariadne, 2023)</w:t>
      </w:r>
      <w:r w:rsidRPr="00670221">
        <w:rPr>
          <w:lang w:val="en-US"/>
        </w:rPr>
        <w:t>.</w:t>
      </w:r>
      <w:r w:rsidR="00147C16" w:rsidRPr="00670221">
        <w:rPr>
          <w:lang w:val="en-US"/>
        </w:rPr>
        <w:t xml:space="preserve"> The forecast was extended to 2041 using trendline analysis in Excel. 2041 marks the final year in which </w:t>
      </w:r>
      <w:r w:rsidR="004E0DB7" w:rsidRPr="00670221">
        <w:rPr>
          <w:lang w:val="en-US"/>
        </w:rPr>
        <w:t>fossil</w:t>
      </w:r>
      <w:r w:rsidR="00147C16" w:rsidRPr="00670221">
        <w:rPr>
          <w:lang w:val="en-US"/>
        </w:rPr>
        <w:t xml:space="preserve"> CO₂ can be used for </w:t>
      </w:r>
      <w:proofErr w:type="spellStart"/>
      <w:r w:rsidR="00147C16" w:rsidRPr="00670221">
        <w:rPr>
          <w:lang w:val="en-US"/>
        </w:rPr>
        <w:t>eSAF</w:t>
      </w:r>
      <w:proofErr w:type="spellEnd"/>
      <w:r w:rsidR="00147C16" w:rsidRPr="00670221">
        <w:rPr>
          <w:lang w:val="en-US"/>
        </w:rPr>
        <w:t xml:space="preserve"> synthesis.</w:t>
      </w:r>
      <w:bookmarkEnd w:id="91"/>
    </w:p>
    <w:p w14:paraId="634C9F80" w14:textId="77777777" w:rsidR="00CE3FAC" w:rsidRPr="00670221" w:rsidRDefault="00CE3FAC" w:rsidP="00CE3FAC">
      <w:pPr>
        <w:rPr>
          <w:lang w:val="en-US"/>
        </w:rPr>
      </w:pPr>
    </w:p>
    <w:p w14:paraId="64C9CCD6" w14:textId="166C8059" w:rsidR="00A0101B" w:rsidRPr="00670221" w:rsidRDefault="00E0725C" w:rsidP="00A0101B">
      <w:pPr>
        <w:pStyle w:val="Heading3"/>
      </w:pPr>
      <w:bookmarkStart w:id="92" w:name="_Toc184403452"/>
      <w:r w:rsidRPr="00670221">
        <w:t>CO</w:t>
      </w:r>
      <w:r w:rsidRPr="005069CD">
        <w:rPr>
          <w:vertAlign w:val="subscript"/>
        </w:rPr>
        <w:t>2</w:t>
      </w:r>
      <w:r w:rsidR="00A0101B" w:rsidRPr="00670221">
        <w:t xml:space="preserve"> Efficiencies</w:t>
      </w:r>
      <w:bookmarkEnd w:id="92"/>
    </w:p>
    <w:p w14:paraId="18F4536D" w14:textId="6F3B9166" w:rsidR="006170C1" w:rsidRPr="00670221" w:rsidRDefault="008F2E89" w:rsidP="008F2E89">
      <w:pPr>
        <w:rPr>
          <w:lang w:val="en-US"/>
        </w:rPr>
      </w:pPr>
      <w:r w:rsidRPr="00670221">
        <w:rPr>
          <w:lang w:val="en-US"/>
        </w:rPr>
        <w:t xml:space="preserve">In the model, the CO₂ efficiency of various components was determined, considering the high value of captured CO₂ when DAC is employed due to the use of renewable </w:t>
      </w:r>
      <w:r w:rsidR="006E2662" w:rsidRPr="00670221">
        <w:rPr>
          <w:lang w:val="en-US"/>
        </w:rPr>
        <w:t>energy</w:t>
      </w:r>
      <w:r w:rsidRPr="00670221">
        <w:rPr>
          <w:lang w:val="en-US"/>
        </w:rPr>
        <w:t xml:space="preserve">. </w:t>
      </w:r>
      <w:r w:rsidR="006170C1" w:rsidRPr="00670221">
        <w:rPr>
          <w:lang w:val="en-US"/>
        </w:rPr>
        <w:t xml:space="preserve">An overview of the carbon efficiencies is given in table </w:t>
      </w:r>
      <w:r w:rsidR="00F1655C" w:rsidRPr="00670221">
        <w:rPr>
          <w:lang w:val="en-US"/>
        </w:rPr>
        <w:t>4</w:t>
      </w:r>
      <w:r w:rsidR="006170C1" w:rsidRPr="00670221">
        <w:rPr>
          <w:lang w:val="en-US"/>
        </w:rPr>
        <w:t>.</w:t>
      </w:r>
      <w:r w:rsidR="00F1655C" w:rsidRPr="00670221">
        <w:rPr>
          <w:lang w:val="en-US"/>
        </w:rPr>
        <w:t>4</w:t>
      </w:r>
      <w:r w:rsidR="006170C1" w:rsidRPr="00670221">
        <w:rPr>
          <w:lang w:val="en-US"/>
        </w:rPr>
        <w:t xml:space="preserve"> below.</w:t>
      </w:r>
    </w:p>
    <w:p w14:paraId="47B9BD44" w14:textId="5321FE70" w:rsidR="009A27D4" w:rsidRPr="00670221" w:rsidRDefault="009A27D4" w:rsidP="009A27D4">
      <w:pPr>
        <w:pStyle w:val="Heading4"/>
        <w:rPr>
          <w:lang w:val="en-US"/>
        </w:rPr>
      </w:pPr>
      <w:r w:rsidRPr="00670221">
        <w:rPr>
          <w:lang w:val="en-US"/>
        </w:rPr>
        <w:t>RWGS Reactor and FT synthesis</w:t>
      </w:r>
    </w:p>
    <w:p w14:paraId="1B937309" w14:textId="77777777" w:rsidR="00BD2E0F" w:rsidRPr="00670221" w:rsidRDefault="00BD2E0F" w:rsidP="00BD2E0F">
      <w:pPr>
        <w:rPr>
          <w:lang w:val="en-US"/>
        </w:rPr>
      </w:pPr>
      <w:r w:rsidRPr="00670221">
        <w:rPr>
          <w:lang w:val="en-US"/>
        </w:rPr>
        <w:t xml:space="preserve">The CO₂ efficiency of the RWGS and FT reactors was initially unknown. To calculate this, the minimum amount of CO₂ required to synthesize 1 liter of </w:t>
      </w:r>
      <w:proofErr w:type="spellStart"/>
      <w:r w:rsidRPr="00670221">
        <w:rPr>
          <w:lang w:val="en-US"/>
        </w:rPr>
        <w:t>eSAF</w:t>
      </w:r>
      <w:proofErr w:type="spellEnd"/>
      <w:r w:rsidRPr="00670221">
        <w:rPr>
          <w:lang w:val="en-US"/>
        </w:rPr>
        <w:t xml:space="preserve"> was estimated based on its chemical composition. For simplicity, kerosene was assumed to consist primarily of C₁₂H₂₆, with an average density of 0.8 kg/liter. This theoretical value was compared with the average CO₂ required in processes modeled in the literature using similar technology, allowing for an approximation of overall CO₂ efficiency.</w:t>
      </w:r>
    </w:p>
    <w:p w14:paraId="798B4C87" w14:textId="540C8E1F" w:rsidR="008F2E89" w:rsidRPr="00670221" w:rsidRDefault="008F2E89" w:rsidP="008F2E89">
      <w:pPr>
        <w:rPr>
          <w:lang w:val="en-US"/>
        </w:rPr>
      </w:pPr>
      <w:r w:rsidRPr="00670221">
        <w:rPr>
          <w:lang w:val="en-US"/>
        </w:rPr>
        <w:t>CO₂ loss occurs during both the RWGS reactor and FT synthesis stages. In the RWGS reactor, incomplete CO₂ conversion leads to losses, while in FT synthesis, side reactions and incomplete reactions result in further CO₂ emissions. The overall carbon efficiency was calculated at 83%, closely matching the literature-reported efficiency of 85% (</w:t>
      </w:r>
      <w:proofErr w:type="spellStart"/>
      <w:r w:rsidRPr="00670221">
        <w:rPr>
          <w:lang w:val="en-US"/>
        </w:rPr>
        <w:t>Markowitsch</w:t>
      </w:r>
      <w:proofErr w:type="spellEnd"/>
      <w:r w:rsidRPr="00670221">
        <w:rPr>
          <w:lang w:val="en-US"/>
        </w:rPr>
        <w:t xml:space="preserve"> et al., 2023). CO₂ losses were assumed to be evenly distributed between the RWGS and FT processes, each accounting for 50%, leading to an estimated CO₂ efficiency of 91% for both processe</w:t>
      </w:r>
      <w:r w:rsidR="00C324D7" w:rsidRPr="00670221">
        <w:rPr>
          <w:lang w:val="en-US"/>
        </w:rPr>
        <w:t>s</w:t>
      </w:r>
      <w:r w:rsidR="00EB2CF9" w:rsidRPr="00670221">
        <w:rPr>
          <w:lang w:val="en-US"/>
        </w:rPr>
        <w:t>.</w:t>
      </w:r>
    </w:p>
    <w:p w14:paraId="07C8395B" w14:textId="5A2AF351" w:rsidR="00723F4B" w:rsidRPr="00670221" w:rsidRDefault="00FC0B56" w:rsidP="001501AA">
      <w:pPr>
        <w:pStyle w:val="Heading4"/>
        <w:rPr>
          <w:lang w:val="en-US"/>
        </w:rPr>
      </w:pPr>
      <w:r w:rsidRPr="00670221">
        <w:rPr>
          <w:lang w:val="en-US"/>
        </w:rPr>
        <w:lastRenderedPageBreak/>
        <w:t>C</w:t>
      </w:r>
      <w:r w:rsidR="00723F4B" w:rsidRPr="00670221">
        <w:rPr>
          <w:lang w:val="en-US"/>
        </w:rPr>
        <w:t>o-electrolysis</w:t>
      </w:r>
    </w:p>
    <w:p w14:paraId="5E34D2D5" w14:textId="50566C2B" w:rsidR="00FB3842" w:rsidRPr="00670221" w:rsidRDefault="002F397E" w:rsidP="002F397E">
      <w:pPr>
        <w:rPr>
          <w:lang w:val="en-US"/>
        </w:rPr>
      </w:pPr>
      <w:r w:rsidRPr="00670221">
        <w:rPr>
          <w:lang w:val="en-US"/>
        </w:rPr>
        <w:t xml:space="preserve">To calculate the carbon efficiency of the solid oxide </w:t>
      </w:r>
      <w:proofErr w:type="spellStart"/>
      <w:r w:rsidRPr="00670221">
        <w:rPr>
          <w:lang w:val="en-US"/>
        </w:rPr>
        <w:t>electrolyzer</w:t>
      </w:r>
      <w:proofErr w:type="spellEnd"/>
      <w:r w:rsidRPr="00670221">
        <w:rPr>
          <w:lang w:val="en-US"/>
        </w:rPr>
        <w:t>, key data such as the CO₂ input, syngas output, and molar masses of the gases involved (CO₂, CO, and H₂) were used. The ratio of H₂ to CO was known to be 2:1, a crucial factor for fuel synthesis, aligning with the requirements of Fischer-</w:t>
      </w:r>
      <w:proofErr w:type="spellStart"/>
      <w:r w:rsidRPr="00670221">
        <w:rPr>
          <w:lang w:val="en-US"/>
        </w:rPr>
        <w:t>Tropsch</w:t>
      </w:r>
      <w:proofErr w:type="spellEnd"/>
      <w:r w:rsidRPr="00670221">
        <w:rPr>
          <w:lang w:val="en-US"/>
        </w:rPr>
        <w:t xml:space="preserve"> synthesis and comparable RWGS reactors. The total number of moles of gas in 1 normal cubic meter was set at 44.6 mol, based on the molar volume of an ideal gas at standard temperature and pressure. The carbon efficiency was then calculated by comparing the moles of CO₂ input to the moles of syngas output, yielding a carbon efficiency of 67%. Sunfire's SOE was chosen for modeling as it represents one of the only commercially available co-electrolysis technologies</w:t>
      </w:r>
      <w:r w:rsidR="00920F4A" w:rsidRPr="00670221">
        <w:rPr>
          <w:lang w:val="en-US"/>
        </w:rPr>
        <w:t xml:space="preserve"> (Choe et al., 2022; Sunfire GmbH, 2023)</w:t>
      </w:r>
      <w:r w:rsidRPr="00670221">
        <w:rPr>
          <w:lang w:val="en-US"/>
        </w:rPr>
        <w:t>.</w:t>
      </w:r>
      <w:r w:rsidR="00BD6783" w:rsidRPr="00670221">
        <w:rPr>
          <w:lang w:val="en-US"/>
        </w:rPr>
        <w:t xml:space="preserve"> </w:t>
      </w:r>
      <w:r w:rsidR="00FB3842" w:rsidRPr="00670221">
        <w:rPr>
          <w:lang w:val="en-US"/>
        </w:rPr>
        <w:t xml:space="preserve">This efficiency is critical for enabling cost comparisons between different technologies, as a lower efficiency would require more CO₂, driving up costs. The balance between higher electrical efficiency and increased CO₂ usage, compared to PEM, has not been previously modeled and is essential for determining which </w:t>
      </w:r>
      <w:proofErr w:type="spellStart"/>
      <w:r w:rsidR="00FB3842" w:rsidRPr="00670221">
        <w:rPr>
          <w:lang w:val="en-US"/>
        </w:rPr>
        <w:t>electrolyzer</w:t>
      </w:r>
      <w:proofErr w:type="spellEnd"/>
      <w:r w:rsidR="00FB3842" w:rsidRPr="00670221">
        <w:rPr>
          <w:lang w:val="en-US"/>
        </w:rPr>
        <w:t xml:space="preserve"> achieves the lowest levelized cost of fuel.</w:t>
      </w:r>
    </w:p>
    <w:tbl>
      <w:tblPr>
        <w:tblStyle w:val="TableGrid"/>
        <w:tblW w:w="0" w:type="auto"/>
        <w:tblLook w:val="04A0" w:firstRow="1" w:lastRow="0" w:firstColumn="1" w:lastColumn="0" w:noHBand="0" w:noVBand="1"/>
      </w:tblPr>
      <w:tblGrid>
        <w:gridCol w:w="4508"/>
        <w:gridCol w:w="4508"/>
      </w:tblGrid>
      <w:tr w:rsidR="001263E8" w:rsidRPr="00670221" w14:paraId="65D94A09" w14:textId="77777777" w:rsidTr="001263E8">
        <w:tc>
          <w:tcPr>
            <w:tcW w:w="4508" w:type="dxa"/>
          </w:tcPr>
          <w:p w14:paraId="7E00712B" w14:textId="271A9CF7" w:rsidR="001263E8" w:rsidRPr="00670221" w:rsidRDefault="001263E8" w:rsidP="00764EA8">
            <w:pPr>
              <w:jc w:val="center"/>
              <w:rPr>
                <w:b/>
                <w:bCs/>
                <w:sz w:val="20"/>
                <w:szCs w:val="20"/>
                <w:lang w:val="en-US"/>
              </w:rPr>
            </w:pPr>
            <w:r w:rsidRPr="00670221">
              <w:rPr>
                <w:b/>
                <w:bCs/>
                <w:sz w:val="20"/>
                <w:szCs w:val="20"/>
                <w:lang w:val="en-US"/>
              </w:rPr>
              <w:t>Technology</w:t>
            </w:r>
          </w:p>
        </w:tc>
        <w:tc>
          <w:tcPr>
            <w:tcW w:w="4508" w:type="dxa"/>
          </w:tcPr>
          <w:p w14:paraId="720285F0" w14:textId="3CA18027" w:rsidR="001263E8" w:rsidRPr="00670221" w:rsidRDefault="001263E8" w:rsidP="00764EA8">
            <w:pPr>
              <w:jc w:val="center"/>
              <w:rPr>
                <w:b/>
                <w:bCs/>
                <w:sz w:val="20"/>
                <w:szCs w:val="20"/>
                <w:lang w:val="en-US"/>
              </w:rPr>
            </w:pPr>
            <w:r w:rsidRPr="00670221">
              <w:rPr>
                <w:b/>
                <w:bCs/>
                <w:sz w:val="20"/>
                <w:szCs w:val="20"/>
                <w:lang w:val="en-US"/>
              </w:rPr>
              <w:t>Carbon efficiency (%)</w:t>
            </w:r>
          </w:p>
        </w:tc>
      </w:tr>
      <w:tr w:rsidR="001263E8" w:rsidRPr="00670221" w14:paraId="253B13E8" w14:textId="77777777" w:rsidTr="001263E8">
        <w:tc>
          <w:tcPr>
            <w:tcW w:w="4508" w:type="dxa"/>
          </w:tcPr>
          <w:p w14:paraId="5BFA333A" w14:textId="453D9874" w:rsidR="001263E8" w:rsidRPr="00670221" w:rsidRDefault="001263E8" w:rsidP="00764EA8">
            <w:pPr>
              <w:jc w:val="center"/>
              <w:rPr>
                <w:sz w:val="20"/>
                <w:szCs w:val="20"/>
                <w:lang w:val="en-US"/>
              </w:rPr>
            </w:pPr>
            <w:r w:rsidRPr="00670221">
              <w:rPr>
                <w:sz w:val="20"/>
                <w:szCs w:val="20"/>
                <w:lang w:val="en-US"/>
              </w:rPr>
              <w:t>SOE</w:t>
            </w:r>
          </w:p>
        </w:tc>
        <w:tc>
          <w:tcPr>
            <w:tcW w:w="4508" w:type="dxa"/>
          </w:tcPr>
          <w:p w14:paraId="288C30DB" w14:textId="66BE7527" w:rsidR="001263E8" w:rsidRPr="00670221" w:rsidRDefault="00E95FA1" w:rsidP="00764EA8">
            <w:pPr>
              <w:jc w:val="center"/>
              <w:rPr>
                <w:sz w:val="20"/>
                <w:szCs w:val="20"/>
                <w:lang w:val="en-US"/>
              </w:rPr>
            </w:pPr>
            <w:r w:rsidRPr="00670221">
              <w:rPr>
                <w:sz w:val="20"/>
                <w:szCs w:val="20"/>
                <w:lang w:val="en-US"/>
              </w:rPr>
              <w:t>67</w:t>
            </w:r>
          </w:p>
        </w:tc>
      </w:tr>
      <w:tr w:rsidR="001263E8" w:rsidRPr="00670221" w14:paraId="50FF2051" w14:textId="77777777" w:rsidTr="001263E8">
        <w:tc>
          <w:tcPr>
            <w:tcW w:w="4508" w:type="dxa"/>
          </w:tcPr>
          <w:p w14:paraId="667776A8" w14:textId="42D5884C" w:rsidR="001263E8" w:rsidRPr="00670221" w:rsidRDefault="00E95FA1" w:rsidP="00764EA8">
            <w:pPr>
              <w:jc w:val="center"/>
              <w:rPr>
                <w:sz w:val="20"/>
                <w:szCs w:val="20"/>
                <w:lang w:val="en-US"/>
              </w:rPr>
            </w:pPr>
            <w:r w:rsidRPr="00670221">
              <w:rPr>
                <w:sz w:val="20"/>
                <w:szCs w:val="20"/>
                <w:lang w:val="en-US"/>
              </w:rPr>
              <w:t>RWGS reactor</w:t>
            </w:r>
          </w:p>
        </w:tc>
        <w:tc>
          <w:tcPr>
            <w:tcW w:w="4508" w:type="dxa"/>
          </w:tcPr>
          <w:p w14:paraId="101000E6" w14:textId="7F5553A0" w:rsidR="00E95FA1" w:rsidRPr="00670221" w:rsidRDefault="00764EA8" w:rsidP="00764EA8">
            <w:pPr>
              <w:jc w:val="center"/>
              <w:rPr>
                <w:sz w:val="20"/>
                <w:szCs w:val="20"/>
                <w:lang w:val="en-US"/>
              </w:rPr>
            </w:pPr>
            <w:r w:rsidRPr="00670221">
              <w:rPr>
                <w:sz w:val="20"/>
                <w:szCs w:val="20"/>
                <w:lang w:val="en-US"/>
              </w:rPr>
              <w:t>91</w:t>
            </w:r>
          </w:p>
        </w:tc>
      </w:tr>
      <w:tr w:rsidR="001263E8" w:rsidRPr="00670221" w14:paraId="44BE85C3" w14:textId="77777777" w:rsidTr="00F12F2C">
        <w:trPr>
          <w:trHeight w:val="90"/>
        </w:trPr>
        <w:tc>
          <w:tcPr>
            <w:tcW w:w="4508" w:type="dxa"/>
          </w:tcPr>
          <w:p w14:paraId="66879612" w14:textId="38057B28" w:rsidR="001263E8" w:rsidRPr="00670221" w:rsidRDefault="00E95FA1" w:rsidP="00764EA8">
            <w:pPr>
              <w:jc w:val="center"/>
              <w:rPr>
                <w:sz w:val="20"/>
                <w:szCs w:val="20"/>
                <w:lang w:val="en-US"/>
              </w:rPr>
            </w:pPr>
            <w:r w:rsidRPr="00670221">
              <w:rPr>
                <w:sz w:val="20"/>
                <w:szCs w:val="20"/>
                <w:lang w:val="en-US"/>
              </w:rPr>
              <w:t>FT synthesis</w:t>
            </w:r>
          </w:p>
        </w:tc>
        <w:tc>
          <w:tcPr>
            <w:tcW w:w="4508" w:type="dxa"/>
          </w:tcPr>
          <w:p w14:paraId="7A9517C9" w14:textId="5B5394F7" w:rsidR="001263E8" w:rsidRPr="00670221" w:rsidRDefault="00764EA8" w:rsidP="00F12F2C">
            <w:pPr>
              <w:keepNext/>
              <w:jc w:val="center"/>
              <w:rPr>
                <w:sz w:val="20"/>
                <w:szCs w:val="20"/>
                <w:lang w:val="en-US"/>
              </w:rPr>
            </w:pPr>
            <w:r w:rsidRPr="00670221">
              <w:rPr>
                <w:sz w:val="20"/>
                <w:szCs w:val="20"/>
                <w:lang w:val="en-US"/>
              </w:rPr>
              <w:t>91</w:t>
            </w:r>
          </w:p>
        </w:tc>
      </w:tr>
    </w:tbl>
    <w:p w14:paraId="01CB0864" w14:textId="6C642C91" w:rsidR="0035798D" w:rsidRPr="00670221" w:rsidRDefault="00F12F2C" w:rsidP="00F12F2C">
      <w:pPr>
        <w:pStyle w:val="Caption"/>
        <w:rPr>
          <w:lang w:val="en-US"/>
        </w:rPr>
      </w:pPr>
      <w:bookmarkStart w:id="93" w:name="_Toc184403594"/>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5</w:t>
      </w:r>
      <w:r w:rsidR="00EF60A5" w:rsidRPr="00670221">
        <w:rPr>
          <w:lang w:val="en-US"/>
        </w:rPr>
        <w:fldChar w:fldCharType="end"/>
      </w:r>
      <w:r w:rsidRPr="00670221">
        <w:rPr>
          <w:lang w:val="en-US"/>
        </w:rPr>
        <w:t>: Carbon efficiency overview</w:t>
      </w:r>
      <w:bookmarkEnd w:id="93"/>
    </w:p>
    <w:p w14:paraId="3F5524BA" w14:textId="77777777" w:rsidR="00F12F2C" w:rsidRPr="00670221" w:rsidRDefault="00F12F2C" w:rsidP="00F12F2C">
      <w:pPr>
        <w:rPr>
          <w:lang w:val="en-US"/>
        </w:rPr>
      </w:pPr>
    </w:p>
    <w:p w14:paraId="53295F20" w14:textId="77777777" w:rsidR="00C42892" w:rsidRPr="00670221" w:rsidRDefault="00C42892" w:rsidP="00C42892">
      <w:pPr>
        <w:pStyle w:val="Heading3"/>
      </w:pPr>
      <w:bookmarkStart w:id="94" w:name="_Toc184403453"/>
      <w:r w:rsidRPr="00670221">
        <w:t>Fixed OPEX and Lifetime</w:t>
      </w:r>
      <w:bookmarkEnd w:id="94"/>
    </w:p>
    <w:p w14:paraId="65B3F0B5" w14:textId="77777777" w:rsidR="00134697" w:rsidRPr="00670221" w:rsidRDefault="00C42892" w:rsidP="00C42892">
      <w:pPr>
        <w:rPr>
          <w:lang w:val="en-US"/>
        </w:rPr>
      </w:pPr>
      <w:r w:rsidRPr="00670221">
        <w:rPr>
          <w:lang w:val="en-US"/>
        </w:rPr>
        <w:t xml:space="preserve">The fixed operational expenditures and lifetime for all technologies are presented in the table below. DAC has a high fixed OPEX </w:t>
      </w:r>
      <w:r w:rsidR="001C57B5" w:rsidRPr="00670221">
        <w:rPr>
          <w:lang w:val="en-US"/>
        </w:rPr>
        <w:t xml:space="preserve">of 10% </w:t>
      </w:r>
      <w:r w:rsidRPr="00670221">
        <w:rPr>
          <w:lang w:val="en-US"/>
        </w:rPr>
        <w:t>primarily due to sorbent replacement</w:t>
      </w:r>
      <w:r w:rsidR="005E1E90" w:rsidRPr="00670221">
        <w:rPr>
          <w:lang w:val="en-US"/>
        </w:rPr>
        <w:t xml:space="preserve">. </w:t>
      </w:r>
      <w:r w:rsidR="00134697" w:rsidRPr="00670221">
        <w:rPr>
          <w:lang w:val="en-US"/>
        </w:rPr>
        <w:t>However, when operating at lower hours, the sorbent's lifetime is extended. To reflect this, OPEX is assumed to scale linearly with operational hours, reducing to 5% when operational hours are halved to 4000.</w:t>
      </w:r>
    </w:p>
    <w:p w14:paraId="4764C63D" w14:textId="40C87817" w:rsidR="00C42892" w:rsidRPr="00670221" w:rsidRDefault="00C42892" w:rsidP="00C42892">
      <w:pPr>
        <w:rPr>
          <w:lang w:val="en-US"/>
        </w:rPr>
      </w:pPr>
      <w:r w:rsidRPr="00670221">
        <w:rPr>
          <w:lang w:val="en-US"/>
        </w:rPr>
        <w:t>The OPEX for PEM electrolysis was derived from literature sources that included stack replacement costs for simplicity (Grahn et al., 2022; Sherwin</w:t>
      </w:r>
      <w:r w:rsidR="00573D0C" w:rsidRPr="00670221">
        <w:rPr>
          <w:lang w:val="en-US"/>
        </w:rPr>
        <w:t xml:space="preserve">, </w:t>
      </w:r>
      <w:r w:rsidRPr="00670221">
        <w:rPr>
          <w:lang w:val="en-US"/>
        </w:rPr>
        <w:t>2021). For solid oxide co-electrolysis, OPEX was set at 4% (Choe et al., 2022), excluding stack replacement, as the system's lifetime, currently estimated at 10 years, matches the stack's lifetime. This is shorter than the 24-year lifetime of PEM due to issues with stack degradation, reflecting the technology's novelty (</w:t>
      </w:r>
      <w:proofErr w:type="spellStart"/>
      <w:r w:rsidRPr="00670221">
        <w:rPr>
          <w:lang w:val="en-US"/>
        </w:rPr>
        <w:t>Becattini</w:t>
      </w:r>
      <w:proofErr w:type="spellEnd"/>
      <w:r w:rsidRPr="00670221">
        <w:rPr>
          <w:lang w:val="en-US"/>
        </w:rPr>
        <w:t xml:space="preserve"> et al., 2021; Choe et al., 2022; Höglund, 2024; IEA, 2019; Martin et al., 2023; Seymour et al., 2023).</w:t>
      </w:r>
      <w:r w:rsidR="006E4B64" w:rsidRPr="00670221">
        <w:rPr>
          <w:lang w:val="en-US"/>
        </w:rPr>
        <w:t xml:space="preserve"> </w:t>
      </w:r>
      <w:r w:rsidR="00882BCB" w:rsidRPr="00670221">
        <w:rPr>
          <w:lang w:val="en-US"/>
        </w:rPr>
        <w:t xml:space="preserve">For fuel synthesis, the operational expenditure is estimated at 4% with a system lifetime of 25 years </w:t>
      </w:r>
      <w:r w:rsidR="00152F71" w:rsidRPr="00670221">
        <w:rPr>
          <w:lang w:val="en-US"/>
        </w:rPr>
        <w:t>(International Energy Agency, 2019; Grahn et al., 2022; Seymour et al., 202</w:t>
      </w:r>
      <w:r w:rsidR="00DA60A2" w:rsidRPr="00670221">
        <w:rPr>
          <w:lang w:val="en-US"/>
        </w:rPr>
        <w:t>3</w:t>
      </w:r>
      <w:r w:rsidR="00152F71" w:rsidRPr="00670221">
        <w:rPr>
          <w:lang w:val="en-US"/>
        </w:rPr>
        <w:t>;</w:t>
      </w:r>
      <w:r w:rsidR="00DA60A2" w:rsidRPr="00670221">
        <w:rPr>
          <w:lang w:val="en-US"/>
        </w:rPr>
        <w:t xml:space="preserve"> Sherwin, </w:t>
      </w:r>
      <w:r w:rsidR="00573D0C" w:rsidRPr="00670221">
        <w:rPr>
          <w:lang w:val="en-US"/>
        </w:rPr>
        <w:t>2021).</w:t>
      </w:r>
    </w:p>
    <w:tbl>
      <w:tblPr>
        <w:tblStyle w:val="TableGrid"/>
        <w:tblW w:w="0" w:type="auto"/>
        <w:tblLook w:val="04A0" w:firstRow="1" w:lastRow="0" w:firstColumn="1" w:lastColumn="0" w:noHBand="0" w:noVBand="1"/>
      </w:tblPr>
      <w:tblGrid>
        <w:gridCol w:w="3005"/>
        <w:gridCol w:w="3005"/>
        <w:gridCol w:w="3006"/>
      </w:tblGrid>
      <w:tr w:rsidR="00C42892" w:rsidRPr="00670221" w14:paraId="1D61AFBF" w14:textId="77777777" w:rsidTr="00C52052">
        <w:tc>
          <w:tcPr>
            <w:tcW w:w="3005" w:type="dxa"/>
          </w:tcPr>
          <w:p w14:paraId="0015E410" w14:textId="77777777" w:rsidR="00C42892" w:rsidRPr="00670221" w:rsidRDefault="00C42892" w:rsidP="00C52052">
            <w:pPr>
              <w:rPr>
                <w:b/>
                <w:bCs/>
                <w:sz w:val="20"/>
                <w:szCs w:val="20"/>
                <w:lang w:val="en-US"/>
              </w:rPr>
            </w:pPr>
            <w:r w:rsidRPr="00670221">
              <w:rPr>
                <w:b/>
                <w:bCs/>
                <w:sz w:val="20"/>
                <w:szCs w:val="20"/>
                <w:lang w:val="en-US"/>
              </w:rPr>
              <w:t>Technology</w:t>
            </w:r>
          </w:p>
        </w:tc>
        <w:tc>
          <w:tcPr>
            <w:tcW w:w="3005" w:type="dxa"/>
          </w:tcPr>
          <w:p w14:paraId="62DADB61" w14:textId="77777777" w:rsidR="00C42892" w:rsidRPr="00670221" w:rsidRDefault="00C42892" w:rsidP="00C52052">
            <w:pPr>
              <w:rPr>
                <w:b/>
                <w:bCs/>
                <w:sz w:val="20"/>
                <w:szCs w:val="20"/>
                <w:lang w:val="en-US"/>
              </w:rPr>
            </w:pPr>
            <w:r w:rsidRPr="00670221">
              <w:rPr>
                <w:b/>
                <w:bCs/>
                <w:sz w:val="20"/>
                <w:szCs w:val="20"/>
                <w:lang w:val="en-US"/>
              </w:rPr>
              <w:t>OPEX (%)</w:t>
            </w:r>
          </w:p>
        </w:tc>
        <w:tc>
          <w:tcPr>
            <w:tcW w:w="3006" w:type="dxa"/>
          </w:tcPr>
          <w:p w14:paraId="011F0078" w14:textId="77777777" w:rsidR="00C42892" w:rsidRPr="00670221" w:rsidRDefault="00C42892" w:rsidP="00C52052">
            <w:pPr>
              <w:rPr>
                <w:b/>
                <w:bCs/>
                <w:sz w:val="20"/>
                <w:szCs w:val="20"/>
                <w:lang w:val="en-US"/>
              </w:rPr>
            </w:pPr>
            <w:r w:rsidRPr="00670221">
              <w:rPr>
                <w:b/>
                <w:bCs/>
                <w:sz w:val="20"/>
                <w:szCs w:val="20"/>
                <w:lang w:val="en-US"/>
              </w:rPr>
              <w:t>Lifetime (years)</w:t>
            </w:r>
          </w:p>
        </w:tc>
      </w:tr>
      <w:tr w:rsidR="00C42892" w:rsidRPr="00670221" w14:paraId="60A5FADD" w14:textId="77777777" w:rsidTr="00C52052">
        <w:tc>
          <w:tcPr>
            <w:tcW w:w="3005" w:type="dxa"/>
          </w:tcPr>
          <w:p w14:paraId="479FF60C" w14:textId="77777777" w:rsidR="00C42892" w:rsidRPr="00670221" w:rsidRDefault="00C42892" w:rsidP="00C52052">
            <w:pPr>
              <w:rPr>
                <w:sz w:val="20"/>
                <w:szCs w:val="20"/>
                <w:lang w:val="en-US"/>
              </w:rPr>
            </w:pPr>
            <w:r w:rsidRPr="00670221">
              <w:rPr>
                <w:sz w:val="20"/>
                <w:szCs w:val="20"/>
                <w:lang w:val="en-US"/>
              </w:rPr>
              <w:t>DAC</w:t>
            </w:r>
          </w:p>
        </w:tc>
        <w:tc>
          <w:tcPr>
            <w:tcW w:w="3005" w:type="dxa"/>
          </w:tcPr>
          <w:p w14:paraId="5EAF1086" w14:textId="77777777" w:rsidR="00C42892" w:rsidRPr="00670221" w:rsidRDefault="00C42892" w:rsidP="00C52052">
            <w:pPr>
              <w:rPr>
                <w:sz w:val="20"/>
                <w:szCs w:val="20"/>
                <w:lang w:val="en-US"/>
              </w:rPr>
            </w:pPr>
            <w:r w:rsidRPr="00670221">
              <w:rPr>
                <w:sz w:val="20"/>
                <w:szCs w:val="20"/>
                <w:lang w:val="en-US"/>
              </w:rPr>
              <w:t>10</w:t>
            </w:r>
          </w:p>
        </w:tc>
        <w:tc>
          <w:tcPr>
            <w:tcW w:w="3006" w:type="dxa"/>
          </w:tcPr>
          <w:p w14:paraId="7D19C4F6" w14:textId="77777777" w:rsidR="00C42892" w:rsidRPr="00670221" w:rsidRDefault="00C42892" w:rsidP="00C52052">
            <w:pPr>
              <w:rPr>
                <w:sz w:val="20"/>
                <w:szCs w:val="20"/>
                <w:lang w:val="en-US"/>
              </w:rPr>
            </w:pPr>
            <w:r w:rsidRPr="00670221">
              <w:rPr>
                <w:sz w:val="20"/>
                <w:szCs w:val="20"/>
                <w:lang w:val="en-US"/>
              </w:rPr>
              <w:t>20</w:t>
            </w:r>
          </w:p>
        </w:tc>
      </w:tr>
      <w:tr w:rsidR="00C42892" w:rsidRPr="00670221" w14:paraId="2BDB7C17" w14:textId="77777777" w:rsidTr="00C52052">
        <w:tc>
          <w:tcPr>
            <w:tcW w:w="3005" w:type="dxa"/>
          </w:tcPr>
          <w:p w14:paraId="5A95E6E5" w14:textId="77777777" w:rsidR="00C42892" w:rsidRPr="00670221" w:rsidRDefault="00C42892" w:rsidP="00C52052">
            <w:pPr>
              <w:rPr>
                <w:sz w:val="20"/>
                <w:szCs w:val="20"/>
                <w:lang w:val="en-US"/>
              </w:rPr>
            </w:pPr>
            <w:r w:rsidRPr="00670221">
              <w:rPr>
                <w:sz w:val="20"/>
                <w:szCs w:val="20"/>
                <w:lang w:val="en-US"/>
              </w:rPr>
              <w:t>PEM</w:t>
            </w:r>
          </w:p>
        </w:tc>
        <w:tc>
          <w:tcPr>
            <w:tcW w:w="3005" w:type="dxa"/>
          </w:tcPr>
          <w:p w14:paraId="43C7CDA3" w14:textId="77777777" w:rsidR="00C42892" w:rsidRPr="00670221" w:rsidRDefault="00C42892" w:rsidP="00C52052">
            <w:pPr>
              <w:rPr>
                <w:sz w:val="20"/>
                <w:szCs w:val="20"/>
                <w:lang w:val="en-US"/>
              </w:rPr>
            </w:pPr>
            <w:r w:rsidRPr="00670221">
              <w:rPr>
                <w:sz w:val="20"/>
                <w:szCs w:val="20"/>
                <w:lang w:val="en-US"/>
              </w:rPr>
              <w:t>7</w:t>
            </w:r>
          </w:p>
        </w:tc>
        <w:tc>
          <w:tcPr>
            <w:tcW w:w="3006" w:type="dxa"/>
          </w:tcPr>
          <w:p w14:paraId="6328B603" w14:textId="77777777" w:rsidR="00C42892" w:rsidRPr="00670221" w:rsidRDefault="00C42892" w:rsidP="00C52052">
            <w:pPr>
              <w:rPr>
                <w:sz w:val="20"/>
                <w:szCs w:val="20"/>
                <w:lang w:val="en-US"/>
              </w:rPr>
            </w:pPr>
            <w:r w:rsidRPr="00670221">
              <w:rPr>
                <w:sz w:val="20"/>
                <w:szCs w:val="20"/>
                <w:lang w:val="en-US"/>
              </w:rPr>
              <w:t>24</w:t>
            </w:r>
          </w:p>
        </w:tc>
      </w:tr>
      <w:tr w:rsidR="00C42892" w:rsidRPr="00670221" w14:paraId="491D0481" w14:textId="77777777" w:rsidTr="00C52052">
        <w:tc>
          <w:tcPr>
            <w:tcW w:w="3005" w:type="dxa"/>
          </w:tcPr>
          <w:p w14:paraId="1E344085" w14:textId="77777777" w:rsidR="00C42892" w:rsidRPr="00670221" w:rsidRDefault="00C42892" w:rsidP="00C52052">
            <w:pPr>
              <w:rPr>
                <w:sz w:val="20"/>
                <w:szCs w:val="20"/>
                <w:lang w:val="en-US"/>
              </w:rPr>
            </w:pPr>
            <w:r w:rsidRPr="00670221">
              <w:rPr>
                <w:sz w:val="20"/>
                <w:szCs w:val="20"/>
                <w:lang w:val="en-US"/>
              </w:rPr>
              <w:lastRenderedPageBreak/>
              <w:t>SOE</w:t>
            </w:r>
          </w:p>
        </w:tc>
        <w:tc>
          <w:tcPr>
            <w:tcW w:w="3005" w:type="dxa"/>
          </w:tcPr>
          <w:p w14:paraId="559BF0B4" w14:textId="77777777" w:rsidR="00C42892" w:rsidRPr="00670221" w:rsidRDefault="00C42892" w:rsidP="00C52052">
            <w:pPr>
              <w:rPr>
                <w:sz w:val="20"/>
                <w:szCs w:val="20"/>
                <w:lang w:val="en-US"/>
              </w:rPr>
            </w:pPr>
            <w:r w:rsidRPr="00670221">
              <w:rPr>
                <w:sz w:val="20"/>
                <w:szCs w:val="20"/>
                <w:lang w:val="en-US"/>
              </w:rPr>
              <w:t>4</w:t>
            </w:r>
          </w:p>
        </w:tc>
        <w:tc>
          <w:tcPr>
            <w:tcW w:w="3006" w:type="dxa"/>
          </w:tcPr>
          <w:p w14:paraId="5A6E00AE" w14:textId="77777777" w:rsidR="00C42892" w:rsidRPr="00670221" w:rsidRDefault="00C42892" w:rsidP="00C52052">
            <w:pPr>
              <w:rPr>
                <w:sz w:val="20"/>
                <w:szCs w:val="20"/>
                <w:lang w:val="en-US"/>
              </w:rPr>
            </w:pPr>
            <w:r w:rsidRPr="00670221">
              <w:rPr>
                <w:sz w:val="20"/>
                <w:szCs w:val="20"/>
                <w:lang w:val="en-US"/>
              </w:rPr>
              <w:t>10</w:t>
            </w:r>
          </w:p>
        </w:tc>
      </w:tr>
      <w:tr w:rsidR="00C42892" w:rsidRPr="00670221" w14:paraId="6F1963CE" w14:textId="77777777" w:rsidTr="00C52052">
        <w:tc>
          <w:tcPr>
            <w:tcW w:w="3005" w:type="dxa"/>
          </w:tcPr>
          <w:p w14:paraId="794294EA" w14:textId="77777777" w:rsidR="00C42892" w:rsidRPr="00670221" w:rsidRDefault="00C42892" w:rsidP="00C52052">
            <w:pPr>
              <w:rPr>
                <w:sz w:val="20"/>
                <w:szCs w:val="20"/>
                <w:lang w:val="en-US"/>
              </w:rPr>
            </w:pPr>
            <w:r w:rsidRPr="00670221">
              <w:rPr>
                <w:sz w:val="20"/>
                <w:szCs w:val="20"/>
                <w:lang w:val="en-US"/>
              </w:rPr>
              <w:t>RWGS reactor</w:t>
            </w:r>
          </w:p>
        </w:tc>
        <w:tc>
          <w:tcPr>
            <w:tcW w:w="3005" w:type="dxa"/>
          </w:tcPr>
          <w:p w14:paraId="0A57BCDD" w14:textId="77777777" w:rsidR="00C42892" w:rsidRPr="00670221" w:rsidRDefault="00C42892" w:rsidP="00C52052">
            <w:pPr>
              <w:rPr>
                <w:sz w:val="20"/>
                <w:szCs w:val="20"/>
                <w:lang w:val="en-US"/>
              </w:rPr>
            </w:pPr>
            <w:r w:rsidRPr="00670221">
              <w:rPr>
                <w:sz w:val="20"/>
                <w:szCs w:val="20"/>
                <w:lang w:val="en-US"/>
              </w:rPr>
              <w:t>4</w:t>
            </w:r>
          </w:p>
        </w:tc>
        <w:tc>
          <w:tcPr>
            <w:tcW w:w="3006" w:type="dxa"/>
          </w:tcPr>
          <w:p w14:paraId="62F51451" w14:textId="77777777" w:rsidR="00C42892" w:rsidRPr="00670221" w:rsidRDefault="00C42892" w:rsidP="00C52052">
            <w:pPr>
              <w:rPr>
                <w:sz w:val="20"/>
                <w:szCs w:val="20"/>
                <w:lang w:val="en-US"/>
              </w:rPr>
            </w:pPr>
            <w:r w:rsidRPr="00670221">
              <w:rPr>
                <w:sz w:val="20"/>
                <w:szCs w:val="20"/>
                <w:lang w:val="en-US"/>
              </w:rPr>
              <w:t>25</w:t>
            </w:r>
          </w:p>
        </w:tc>
      </w:tr>
      <w:tr w:rsidR="00C42892" w:rsidRPr="00670221" w14:paraId="059F3237" w14:textId="77777777" w:rsidTr="00C52052">
        <w:tc>
          <w:tcPr>
            <w:tcW w:w="3005" w:type="dxa"/>
          </w:tcPr>
          <w:p w14:paraId="3C16C3C2" w14:textId="77777777" w:rsidR="00C42892" w:rsidRPr="00670221" w:rsidRDefault="00C42892" w:rsidP="00C52052">
            <w:pPr>
              <w:rPr>
                <w:sz w:val="20"/>
                <w:szCs w:val="20"/>
                <w:lang w:val="en-US"/>
              </w:rPr>
            </w:pPr>
            <w:r w:rsidRPr="00670221">
              <w:rPr>
                <w:sz w:val="20"/>
                <w:szCs w:val="20"/>
                <w:lang w:val="en-US"/>
              </w:rPr>
              <w:t>FT synthesis</w:t>
            </w:r>
          </w:p>
        </w:tc>
        <w:tc>
          <w:tcPr>
            <w:tcW w:w="3005" w:type="dxa"/>
          </w:tcPr>
          <w:p w14:paraId="5060AEEF" w14:textId="77777777" w:rsidR="00C42892" w:rsidRPr="00670221" w:rsidRDefault="00C42892" w:rsidP="00C52052">
            <w:pPr>
              <w:rPr>
                <w:sz w:val="20"/>
                <w:szCs w:val="20"/>
                <w:lang w:val="en-US"/>
              </w:rPr>
            </w:pPr>
            <w:r w:rsidRPr="00670221">
              <w:rPr>
                <w:sz w:val="20"/>
                <w:szCs w:val="20"/>
                <w:lang w:val="en-US"/>
              </w:rPr>
              <w:t>4</w:t>
            </w:r>
          </w:p>
        </w:tc>
        <w:tc>
          <w:tcPr>
            <w:tcW w:w="3006" w:type="dxa"/>
          </w:tcPr>
          <w:p w14:paraId="2823EF47" w14:textId="77777777" w:rsidR="00C42892" w:rsidRPr="00670221" w:rsidRDefault="00C42892" w:rsidP="003819A3">
            <w:pPr>
              <w:keepNext/>
              <w:rPr>
                <w:sz w:val="20"/>
                <w:szCs w:val="20"/>
                <w:lang w:val="en-US"/>
              </w:rPr>
            </w:pPr>
            <w:r w:rsidRPr="00670221">
              <w:rPr>
                <w:sz w:val="20"/>
                <w:szCs w:val="20"/>
                <w:lang w:val="en-US"/>
              </w:rPr>
              <w:t>25</w:t>
            </w:r>
          </w:p>
        </w:tc>
      </w:tr>
    </w:tbl>
    <w:p w14:paraId="4F5A3829" w14:textId="1D01EADE" w:rsidR="00C42892" w:rsidRPr="00670221" w:rsidRDefault="003819A3" w:rsidP="003819A3">
      <w:pPr>
        <w:pStyle w:val="Caption"/>
        <w:rPr>
          <w:lang w:val="en-US"/>
        </w:rPr>
      </w:pPr>
      <w:bookmarkStart w:id="95" w:name="_Toc184403595"/>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6</w:t>
      </w:r>
      <w:r w:rsidR="00EF60A5" w:rsidRPr="00670221">
        <w:rPr>
          <w:lang w:val="en-US"/>
        </w:rPr>
        <w:fldChar w:fldCharType="end"/>
      </w:r>
      <w:r w:rsidRPr="00670221">
        <w:rPr>
          <w:lang w:val="en-US"/>
        </w:rPr>
        <w:t xml:space="preserve">: </w:t>
      </w:r>
      <w:r w:rsidR="000450A4" w:rsidRPr="00670221">
        <w:rPr>
          <w:lang w:val="en-US"/>
        </w:rPr>
        <w:t>O</w:t>
      </w:r>
      <w:r w:rsidRPr="00670221">
        <w:rPr>
          <w:lang w:val="en-US"/>
        </w:rPr>
        <w:t>verview of technology specific OPEX and lifetime</w:t>
      </w:r>
      <w:bookmarkEnd w:id="95"/>
    </w:p>
    <w:p w14:paraId="616DDA40" w14:textId="77777777" w:rsidR="006A2D97" w:rsidRPr="00670221" w:rsidRDefault="006A2D97" w:rsidP="006A2D97">
      <w:pPr>
        <w:rPr>
          <w:lang w:val="en-US"/>
        </w:rPr>
      </w:pPr>
    </w:p>
    <w:p w14:paraId="71271CE9" w14:textId="57EC5B91" w:rsidR="004855EE" w:rsidRPr="00670221" w:rsidRDefault="0062620C" w:rsidP="00556DE3">
      <w:pPr>
        <w:pStyle w:val="Heading3"/>
      </w:pPr>
      <w:bookmarkStart w:id="96" w:name="_Toc184403454"/>
      <w:r w:rsidRPr="00670221">
        <w:t>Economic</w:t>
      </w:r>
      <w:r w:rsidR="00CC6B47" w:rsidRPr="00670221">
        <w:t xml:space="preserve"> </w:t>
      </w:r>
      <w:r w:rsidR="00EA105A" w:rsidRPr="00670221">
        <w:t>assumptions</w:t>
      </w:r>
      <w:bookmarkEnd w:id="96"/>
    </w:p>
    <w:p w14:paraId="069CB61E" w14:textId="3D803072" w:rsidR="006A2D97" w:rsidRPr="00670221" w:rsidRDefault="006A2D97" w:rsidP="006A2D97">
      <w:pPr>
        <w:rPr>
          <w:lang w:val="en-US"/>
        </w:rPr>
      </w:pPr>
      <w:r w:rsidRPr="00670221">
        <w:rPr>
          <w:lang w:val="en-US"/>
        </w:rPr>
        <w:t xml:space="preserve">The following outlines </w:t>
      </w:r>
      <w:r w:rsidR="0062620C" w:rsidRPr="00670221">
        <w:rPr>
          <w:lang w:val="en-US"/>
        </w:rPr>
        <w:t xml:space="preserve">key economic </w:t>
      </w:r>
      <w:r w:rsidRPr="00670221">
        <w:rPr>
          <w:lang w:val="en-US"/>
        </w:rPr>
        <w:t xml:space="preserve">assumptions used in this model, including values for storage, heat integration, electricity price, discount rate, and operational hours. These assumptions are summarized in </w:t>
      </w:r>
      <w:r w:rsidR="00E50E94" w:rsidRPr="00670221">
        <w:rPr>
          <w:lang w:val="en-US"/>
        </w:rPr>
        <w:t xml:space="preserve">table </w:t>
      </w:r>
      <w:r w:rsidR="00EA124D" w:rsidRPr="00670221">
        <w:rPr>
          <w:lang w:val="en-US"/>
        </w:rPr>
        <w:t>4</w:t>
      </w:r>
      <w:r w:rsidR="00E50E94" w:rsidRPr="00670221">
        <w:rPr>
          <w:lang w:val="en-US"/>
        </w:rPr>
        <w:t>.</w:t>
      </w:r>
      <w:r w:rsidR="00643EC5" w:rsidRPr="00670221">
        <w:rPr>
          <w:lang w:val="en-US"/>
        </w:rPr>
        <w:t>5</w:t>
      </w:r>
      <w:r w:rsidR="00E50E94" w:rsidRPr="00670221">
        <w:rPr>
          <w:lang w:val="en-US"/>
        </w:rPr>
        <w:t xml:space="preserve"> below</w:t>
      </w:r>
      <w:r w:rsidRPr="00670221">
        <w:rPr>
          <w:lang w:val="en-US"/>
        </w:rPr>
        <w:t>.</w:t>
      </w:r>
    </w:p>
    <w:p w14:paraId="35F280C5" w14:textId="6408E1A5" w:rsidR="003147AA" w:rsidRPr="00670221" w:rsidRDefault="003147AA" w:rsidP="003147AA">
      <w:pPr>
        <w:pStyle w:val="Heading4"/>
        <w:rPr>
          <w:lang w:val="en-US"/>
        </w:rPr>
      </w:pPr>
      <w:r w:rsidRPr="00670221">
        <w:rPr>
          <w:lang w:val="en-US"/>
        </w:rPr>
        <w:t>Storage</w:t>
      </w:r>
    </w:p>
    <w:p w14:paraId="7DF2BBA1" w14:textId="77777777" w:rsidR="00D305CD" w:rsidRPr="00670221" w:rsidRDefault="00D305CD" w:rsidP="00D305CD">
      <w:pPr>
        <w:rPr>
          <w:lang w:val="en-US"/>
        </w:rPr>
      </w:pPr>
      <w:r w:rsidRPr="00670221">
        <w:rPr>
          <w:lang w:val="en-US"/>
        </w:rPr>
        <w:t>Storage is not considered in this model, despite the well-established need for electricity storage in managing renewable energy intermittency. Including storage would require additional component sizing and transform the model into a more complex mixed optimization problem, which falls outside the scope of this study.</w:t>
      </w:r>
    </w:p>
    <w:p w14:paraId="58FF424A" w14:textId="77777777" w:rsidR="00F55D18" w:rsidRPr="00670221" w:rsidRDefault="00F55D18" w:rsidP="00F55D18">
      <w:pPr>
        <w:pStyle w:val="Heading4"/>
        <w:rPr>
          <w:lang w:val="en-US"/>
        </w:rPr>
      </w:pPr>
      <w:r w:rsidRPr="00670221">
        <w:rPr>
          <w:lang w:val="en-US"/>
        </w:rPr>
        <w:t>Heat Integration</w:t>
      </w:r>
    </w:p>
    <w:p w14:paraId="17D81DE3" w14:textId="2E2B55C7" w:rsidR="00F55D18" w:rsidRPr="00670221" w:rsidRDefault="00F55D18" w:rsidP="00D305CD">
      <w:pPr>
        <w:rPr>
          <w:lang w:val="en-US"/>
        </w:rPr>
      </w:pPr>
      <w:r w:rsidRPr="00670221">
        <w:rPr>
          <w:lang w:val="en-US"/>
        </w:rPr>
        <w:t>The thermal energy demands of the endothermic RWGS reactor are supplied by the exothermic FT synthesis process. Rojas-</w:t>
      </w:r>
      <w:proofErr w:type="spellStart"/>
      <w:r w:rsidRPr="00670221">
        <w:rPr>
          <w:lang w:val="en-US"/>
        </w:rPr>
        <w:t>Michaga</w:t>
      </w:r>
      <w:proofErr w:type="spellEnd"/>
      <w:r w:rsidRPr="00670221">
        <w:rPr>
          <w:lang w:val="en-US"/>
        </w:rPr>
        <w:t xml:space="preserve"> et al. (2023) demonstrated that FT synthesis waste heat </w:t>
      </w:r>
      <w:r w:rsidR="00B772F5" w:rsidRPr="00670221">
        <w:rPr>
          <w:lang w:val="en-US"/>
        </w:rPr>
        <w:t>additionally</w:t>
      </w:r>
      <w:r w:rsidRPr="00670221">
        <w:rPr>
          <w:lang w:val="en-US"/>
        </w:rPr>
        <w:t xml:space="preserve"> meets DAC requirements. Similarly, for solid oxide co-electrolysis, the FT synthesis heat is assumed to meet high-temperature demands, as the RWGS reactor is bypassed. Therefore, the thermal energy price was set to zero.</w:t>
      </w:r>
    </w:p>
    <w:p w14:paraId="16D86CDE" w14:textId="77777777" w:rsidR="0056799D" w:rsidRPr="00670221" w:rsidRDefault="0056799D" w:rsidP="0056799D">
      <w:pPr>
        <w:pStyle w:val="Heading4"/>
        <w:rPr>
          <w:lang w:val="en-US"/>
        </w:rPr>
      </w:pPr>
      <w:r w:rsidRPr="00670221">
        <w:rPr>
          <w:lang w:val="en-US"/>
        </w:rPr>
        <w:t>Electricity Price</w:t>
      </w:r>
    </w:p>
    <w:p w14:paraId="1FDA5AC1" w14:textId="1A9DF34D" w:rsidR="0056799D" w:rsidRPr="00670221" w:rsidRDefault="0056799D" w:rsidP="00D305CD">
      <w:pPr>
        <w:rPr>
          <w:lang w:val="en-US"/>
        </w:rPr>
      </w:pPr>
      <w:r w:rsidRPr="00670221">
        <w:rPr>
          <w:lang w:val="en-US"/>
        </w:rPr>
        <w:t xml:space="preserve">An electricity price of €60/MWh, representing the levelized cost of renewable electricity, was assumed in line with EU estimates (IEA, 2021). Large-scale projects such as </w:t>
      </w:r>
      <w:proofErr w:type="spellStart"/>
      <w:r w:rsidRPr="00670221">
        <w:rPr>
          <w:lang w:val="en-US"/>
        </w:rPr>
        <w:t>eSAF</w:t>
      </w:r>
      <w:proofErr w:type="spellEnd"/>
      <w:r w:rsidRPr="00670221">
        <w:rPr>
          <w:lang w:val="en-US"/>
        </w:rPr>
        <w:t xml:space="preserve"> production plants typically purchase electricity directly before the meter, avoiding network-associated costs but potentially requiring additional storage expenses.</w:t>
      </w:r>
    </w:p>
    <w:p w14:paraId="023F7881" w14:textId="77777777" w:rsidR="006D33B8" w:rsidRPr="00670221" w:rsidRDefault="006D33B8" w:rsidP="006D33B8">
      <w:pPr>
        <w:pStyle w:val="Heading4"/>
        <w:rPr>
          <w:lang w:val="en-US"/>
        </w:rPr>
      </w:pPr>
      <w:r w:rsidRPr="00670221">
        <w:rPr>
          <w:lang w:val="en-US"/>
        </w:rPr>
        <w:t>Discount Rate</w:t>
      </w:r>
    </w:p>
    <w:p w14:paraId="71AFD9B2" w14:textId="0A701554" w:rsidR="006D33B8" w:rsidRPr="00670221" w:rsidRDefault="006D33B8" w:rsidP="00D305CD">
      <w:pPr>
        <w:rPr>
          <w:lang w:val="en-US"/>
        </w:rPr>
      </w:pPr>
      <w:r w:rsidRPr="00670221">
        <w:rPr>
          <w:lang w:val="en-US"/>
        </w:rPr>
        <w:t xml:space="preserve">The discount rate is set at 8%, representing the </w:t>
      </w:r>
      <w:proofErr w:type="spellStart"/>
      <w:r w:rsidR="00AA027F" w:rsidRPr="00670221">
        <w:rPr>
          <w:lang w:val="en-US"/>
        </w:rPr>
        <w:t>the</w:t>
      </w:r>
      <w:proofErr w:type="spellEnd"/>
      <w:r w:rsidR="00AA027F" w:rsidRPr="00670221">
        <w:rPr>
          <w:lang w:val="en-US"/>
        </w:rPr>
        <w:t xml:space="preserve"> Weighted Average Cost of Capital (WACC). The WACC reflects the true cost of financing by considering the balance between debt and equity in the capital structure, and it accounts for the risks associated with the project. This approach helps capture the required returns for investors and lenders, ensuring consistency with broader financial strategies. Additionally, WACC includes tax benefits from debt, providing a more realistic assessment of the project’s economic feasibility, making it a crucial component of Levelized Cost of Fuel calculations for </w:t>
      </w:r>
      <w:proofErr w:type="spellStart"/>
      <w:r w:rsidR="00AA027F" w:rsidRPr="00670221">
        <w:rPr>
          <w:lang w:val="en-US"/>
        </w:rPr>
        <w:t>eSAF</w:t>
      </w:r>
      <w:proofErr w:type="spellEnd"/>
      <w:r w:rsidR="00AA027F" w:rsidRPr="00670221">
        <w:rPr>
          <w:lang w:val="en-US"/>
        </w:rPr>
        <w:t xml:space="preserve"> projects</w:t>
      </w:r>
      <w:r w:rsidR="00C6483A" w:rsidRPr="00670221">
        <w:rPr>
          <w:lang w:val="en-US"/>
        </w:rPr>
        <w:t xml:space="preserve"> (Franc-</w:t>
      </w:r>
      <w:proofErr w:type="spellStart"/>
      <w:r w:rsidR="00C6483A" w:rsidRPr="00670221">
        <w:rPr>
          <w:lang w:val="en-US"/>
        </w:rPr>
        <w:t>Dąbrowska</w:t>
      </w:r>
      <w:proofErr w:type="spellEnd"/>
      <w:r w:rsidR="00C6483A" w:rsidRPr="00670221">
        <w:rPr>
          <w:lang w:val="en-US"/>
        </w:rPr>
        <w:t xml:space="preserve"> et al., 2021)</w:t>
      </w:r>
      <w:r w:rsidRPr="00670221">
        <w:rPr>
          <w:lang w:val="en-US"/>
        </w:rPr>
        <w:t xml:space="preserve">. </w:t>
      </w:r>
    </w:p>
    <w:p w14:paraId="030DFAD8" w14:textId="7EDEB98A" w:rsidR="00F55D18" w:rsidRPr="00670221" w:rsidRDefault="00AB0AF5" w:rsidP="00607249">
      <w:pPr>
        <w:pStyle w:val="Heading4"/>
        <w:rPr>
          <w:lang w:val="en-US"/>
        </w:rPr>
      </w:pPr>
      <w:r w:rsidRPr="00670221">
        <w:rPr>
          <w:lang w:val="en-US"/>
        </w:rPr>
        <w:t xml:space="preserve">Operational </w:t>
      </w:r>
      <w:r w:rsidR="00F55D18" w:rsidRPr="00670221">
        <w:rPr>
          <w:lang w:val="en-US"/>
        </w:rPr>
        <w:t>H</w:t>
      </w:r>
      <w:r w:rsidRPr="00670221">
        <w:rPr>
          <w:lang w:val="en-US"/>
        </w:rPr>
        <w:t>ours</w:t>
      </w:r>
    </w:p>
    <w:p w14:paraId="4D9851F7" w14:textId="168D0150" w:rsidR="00CA4180" w:rsidRPr="00670221" w:rsidRDefault="00F55D18" w:rsidP="00F55D18">
      <w:pPr>
        <w:rPr>
          <w:lang w:val="en-US"/>
        </w:rPr>
      </w:pPr>
      <w:r w:rsidRPr="00670221">
        <w:rPr>
          <w:lang w:val="en-US"/>
        </w:rPr>
        <w:t xml:space="preserve">Fuel synthesis is assumed to </w:t>
      </w:r>
      <w:r w:rsidR="00746D9A" w:rsidRPr="00670221">
        <w:rPr>
          <w:lang w:val="en-US"/>
        </w:rPr>
        <w:t>run</w:t>
      </w:r>
      <w:r w:rsidRPr="00670221">
        <w:rPr>
          <w:lang w:val="en-US"/>
        </w:rPr>
        <w:t xml:space="preserve"> continuously for 8,000 hours annually. Although storage of hydrogen, CO₂, or syngas could facilitate intermittent operation, the high CAPEX </w:t>
      </w:r>
      <w:r w:rsidR="00D81F4B" w:rsidRPr="00670221">
        <w:rPr>
          <w:lang w:val="en-US"/>
        </w:rPr>
        <w:t>of DAC</w:t>
      </w:r>
      <w:r w:rsidR="000D2CD0" w:rsidRPr="00670221">
        <w:rPr>
          <w:lang w:val="en-US"/>
        </w:rPr>
        <w:t xml:space="preserve"> and</w:t>
      </w:r>
      <w:r w:rsidR="00D81F4B" w:rsidRPr="00670221">
        <w:rPr>
          <w:lang w:val="en-US"/>
        </w:rPr>
        <w:t xml:space="preserve"> </w:t>
      </w:r>
      <w:r w:rsidR="009C2765" w:rsidRPr="00670221">
        <w:rPr>
          <w:lang w:val="en-US"/>
        </w:rPr>
        <w:t xml:space="preserve">both </w:t>
      </w:r>
      <w:r w:rsidR="00D81F4B" w:rsidRPr="00670221">
        <w:rPr>
          <w:lang w:val="en-US"/>
        </w:rPr>
        <w:t xml:space="preserve">electrolysis </w:t>
      </w:r>
      <w:r w:rsidR="009C2765" w:rsidRPr="00670221">
        <w:rPr>
          <w:lang w:val="en-US"/>
        </w:rPr>
        <w:t>technologies</w:t>
      </w:r>
      <w:r w:rsidR="00983D7D" w:rsidRPr="00670221">
        <w:rPr>
          <w:lang w:val="en-US"/>
        </w:rPr>
        <w:t xml:space="preserve"> and</w:t>
      </w:r>
      <w:r w:rsidR="000D2CD0" w:rsidRPr="00670221">
        <w:rPr>
          <w:lang w:val="en-US"/>
        </w:rPr>
        <w:t xml:space="preserve"> expensive storage </w:t>
      </w:r>
      <w:r w:rsidRPr="00670221">
        <w:rPr>
          <w:lang w:val="en-US"/>
        </w:rPr>
        <w:t xml:space="preserve">supports the assumption of continuous </w:t>
      </w:r>
      <w:r w:rsidRPr="00670221">
        <w:rPr>
          <w:lang w:val="en-US"/>
        </w:rPr>
        <w:lastRenderedPageBreak/>
        <w:t>operation to improve cost efficiency by distributing capital expenses over larger production volumes.</w:t>
      </w:r>
    </w:p>
    <w:tbl>
      <w:tblPr>
        <w:tblStyle w:val="TableGrid"/>
        <w:tblW w:w="0" w:type="auto"/>
        <w:tblLook w:val="04A0" w:firstRow="1" w:lastRow="0" w:firstColumn="1" w:lastColumn="0" w:noHBand="0" w:noVBand="1"/>
      </w:tblPr>
      <w:tblGrid>
        <w:gridCol w:w="3005"/>
        <w:gridCol w:w="3005"/>
        <w:gridCol w:w="3006"/>
      </w:tblGrid>
      <w:tr w:rsidR="00BD3980" w:rsidRPr="00670221" w14:paraId="33B9A94F" w14:textId="77777777" w:rsidTr="00BD3980">
        <w:tc>
          <w:tcPr>
            <w:tcW w:w="3005" w:type="dxa"/>
          </w:tcPr>
          <w:p w14:paraId="722E72AF" w14:textId="16DFC391" w:rsidR="00BD3980" w:rsidRPr="00670221" w:rsidRDefault="00CA4180" w:rsidP="00D94B74">
            <w:pPr>
              <w:rPr>
                <w:b/>
                <w:bCs/>
                <w:sz w:val="20"/>
                <w:szCs w:val="20"/>
                <w:lang w:val="en-US"/>
              </w:rPr>
            </w:pPr>
            <w:r w:rsidRPr="00670221">
              <w:rPr>
                <w:b/>
                <w:bCs/>
                <w:sz w:val="20"/>
                <w:szCs w:val="20"/>
                <w:lang w:val="en-US"/>
              </w:rPr>
              <w:t>Parameter</w:t>
            </w:r>
          </w:p>
        </w:tc>
        <w:tc>
          <w:tcPr>
            <w:tcW w:w="3005" w:type="dxa"/>
          </w:tcPr>
          <w:p w14:paraId="7AF291CA" w14:textId="35BFAEB1" w:rsidR="00BD3980" w:rsidRPr="00670221" w:rsidRDefault="00CA4180" w:rsidP="00D94B74">
            <w:pPr>
              <w:rPr>
                <w:b/>
                <w:bCs/>
                <w:sz w:val="20"/>
                <w:szCs w:val="20"/>
                <w:lang w:val="en-US"/>
              </w:rPr>
            </w:pPr>
            <w:r w:rsidRPr="00670221">
              <w:rPr>
                <w:b/>
                <w:bCs/>
                <w:sz w:val="20"/>
                <w:szCs w:val="20"/>
                <w:lang w:val="en-US"/>
              </w:rPr>
              <w:t>Value</w:t>
            </w:r>
          </w:p>
        </w:tc>
        <w:tc>
          <w:tcPr>
            <w:tcW w:w="3006" w:type="dxa"/>
          </w:tcPr>
          <w:p w14:paraId="46CFFA14" w14:textId="562BDC10" w:rsidR="00BD3980" w:rsidRPr="00670221" w:rsidRDefault="00CA4180" w:rsidP="00D94B74">
            <w:pPr>
              <w:rPr>
                <w:b/>
                <w:bCs/>
                <w:sz w:val="20"/>
                <w:szCs w:val="20"/>
                <w:lang w:val="en-US"/>
              </w:rPr>
            </w:pPr>
            <w:r w:rsidRPr="00670221">
              <w:rPr>
                <w:b/>
                <w:bCs/>
                <w:sz w:val="20"/>
                <w:szCs w:val="20"/>
                <w:lang w:val="en-US"/>
              </w:rPr>
              <w:t>Unit</w:t>
            </w:r>
          </w:p>
        </w:tc>
      </w:tr>
      <w:tr w:rsidR="00BD3980" w:rsidRPr="00670221" w14:paraId="688F8BC1" w14:textId="77777777" w:rsidTr="00BD3980">
        <w:tc>
          <w:tcPr>
            <w:tcW w:w="3005" w:type="dxa"/>
          </w:tcPr>
          <w:p w14:paraId="74A0FF95" w14:textId="5CF61F5C" w:rsidR="00BD3980" w:rsidRPr="00670221" w:rsidRDefault="0056799D" w:rsidP="00D94B74">
            <w:pPr>
              <w:rPr>
                <w:sz w:val="20"/>
                <w:szCs w:val="20"/>
                <w:lang w:val="en-US"/>
              </w:rPr>
            </w:pPr>
            <w:r w:rsidRPr="00670221">
              <w:rPr>
                <w:sz w:val="20"/>
                <w:szCs w:val="20"/>
                <w:lang w:val="en-US"/>
              </w:rPr>
              <w:t>Thermal energy price</w:t>
            </w:r>
          </w:p>
        </w:tc>
        <w:tc>
          <w:tcPr>
            <w:tcW w:w="3005" w:type="dxa"/>
          </w:tcPr>
          <w:p w14:paraId="5F79E6B2" w14:textId="259EE06A" w:rsidR="00BD3980" w:rsidRPr="00670221" w:rsidRDefault="00E56888" w:rsidP="00D94B74">
            <w:pPr>
              <w:rPr>
                <w:sz w:val="20"/>
                <w:szCs w:val="20"/>
                <w:lang w:val="en-US"/>
              </w:rPr>
            </w:pPr>
            <w:r w:rsidRPr="00670221">
              <w:rPr>
                <w:sz w:val="20"/>
                <w:szCs w:val="20"/>
                <w:lang w:val="en-US"/>
              </w:rPr>
              <w:t>0</w:t>
            </w:r>
          </w:p>
        </w:tc>
        <w:tc>
          <w:tcPr>
            <w:tcW w:w="3006" w:type="dxa"/>
          </w:tcPr>
          <w:p w14:paraId="62942656" w14:textId="6A7EEEF1" w:rsidR="00BD3980" w:rsidRPr="00670221" w:rsidRDefault="00E56888" w:rsidP="00D94B74">
            <w:pPr>
              <w:rPr>
                <w:sz w:val="20"/>
                <w:szCs w:val="20"/>
                <w:lang w:val="en-US"/>
              </w:rPr>
            </w:pPr>
            <w:r w:rsidRPr="00670221">
              <w:rPr>
                <w:sz w:val="20"/>
                <w:szCs w:val="20"/>
                <w:lang w:val="en-US"/>
              </w:rPr>
              <w:t>€/MWh</w:t>
            </w:r>
          </w:p>
        </w:tc>
      </w:tr>
      <w:tr w:rsidR="00BD3980" w:rsidRPr="00670221" w14:paraId="5F41E03D" w14:textId="77777777" w:rsidTr="00BD3980">
        <w:tc>
          <w:tcPr>
            <w:tcW w:w="3005" w:type="dxa"/>
          </w:tcPr>
          <w:p w14:paraId="65F15523" w14:textId="4A8E839F" w:rsidR="0056799D" w:rsidRPr="00670221" w:rsidRDefault="0056799D" w:rsidP="00D94B74">
            <w:pPr>
              <w:rPr>
                <w:sz w:val="20"/>
                <w:szCs w:val="20"/>
                <w:lang w:val="en-US"/>
              </w:rPr>
            </w:pPr>
            <w:r w:rsidRPr="00670221">
              <w:rPr>
                <w:sz w:val="20"/>
                <w:szCs w:val="20"/>
                <w:lang w:val="en-US"/>
              </w:rPr>
              <w:t>Electricity price</w:t>
            </w:r>
          </w:p>
        </w:tc>
        <w:tc>
          <w:tcPr>
            <w:tcW w:w="3005" w:type="dxa"/>
          </w:tcPr>
          <w:p w14:paraId="765BFA60" w14:textId="6FF310AE" w:rsidR="00BD3980" w:rsidRPr="00670221" w:rsidRDefault="00E56888" w:rsidP="00D94B74">
            <w:pPr>
              <w:rPr>
                <w:sz w:val="20"/>
                <w:szCs w:val="20"/>
                <w:lang w:val="en-US"/>
              </w:rPr>
            </w:pPr>
            <w:r w:rsidRPr="00670221">
              <w:rPr>
                <w:sz w:val="20"/>
                <w:szCs w:val="20"/>
                <w:lang w:val="en-US"/>
              </w:rPr>
              <w:t>60</w:t>
            </w:r>
          </w:p>
        </w:tc>
        <w:tc>
          <w:tcPr>
            <w:tcW w:w="3006" w:type="dxa"/>
          </w:tcPr>
          <w:p w14:paraId="41A12CD6" w14:textId="268C7FE4" w:rsidR="00BD3980" w:rsidRPr="00670221" w:rsidRDefault="00E56888" w:rsidP="00D94B74">
            <w:pPr>
              <w:rPr>
                <w:sz w:val="20"/>
                <w:szCs w:val="20"/>
                <w:lang w:val="en-US"/>
              </w:rPr>
            </w:pPr>
            <w:r w:rsidRPr="00670221">
              <w:rPr>
                <w:sz w:val="20"/>
                <w:szCs w:val="20"/>
                <w:lang w:val="en-US"/>
              </w:rPr>
              <w:t>€/MWh</w:t>
            </w:r>
          </w:p>
        </w:tc>
      </w:tr>
      <w:tr w:rsidR="00BD3980" w:rsidRPr="00670221" w14:paraId="14DFC00E" w14:textId="77777777" w:rsidTr="00BD3980">
        <w:tc>
          <w:tcPr>
            <w:tcW w:w="3005" w:type="dxa"/>
          </w:tcPr>
          <w:p w14:paraId="7D445D79" w14:textId="21714FAF" w:rsidR="00BD3980" w:rsidRPr="00670221" w:rsidRDefault="0056799D" w:rsidP="00D94B74">
            <w:pPr>
              <w:rPr>
                <w:sz w:val="20"/>
                <w:szCs w:val="20"/>
                <w:lang w:val="en-US"/>
              </w:rPr>
            </w:pPr>
            <w:r w:rsidRPr="00670221">
              <w:rPr>
                <w:sz w:val="20"/>
                <w:szCs w:val="20"/>
                <w:lang w:val="en-US"/>
              </w:rPr>
              <w:t>Discount rate</w:t>
            </w:r>
          </w:p>
        </w:tc>
        <w:tc>
          <w:tcPr>
            <w:tcW w:w="3005" w:type="dxa"/>
          </w:tcPr>
          <w:p w14:paraId="42C2D894" w14:textId="3FED1A1E" w:rsidR="00BD3980" w:rsidRPr="00670221" w:rsidRDefault="00E56888" w:rsidP="00D94B74">
            <w:pPr>
              <w:rPr>
                <w:sz w:val="20"/>
                <w:szCs w:val="20"/>
                <w:lang w:val="en-US"/>
              </w:rPr>
            </w:pPr>
            <w:r w:rsidRPr="00670221">
              <w:rPr>
                <w:sz w:val="20"/>
                <w:szCs w:val="20"/>
                <w:lang w:val="en-US"/>
              </w:rPr>
              <w:t>8</w:t>
            </w:r>
          </w:p>
        </w:tc>
        <w:tc>
          <w:tcPr>
            <w:tcW w:w="3006" w:type="dxa"/>
          </w:tcPr>
          <w:p w14:paraId="47FB75B7" w14:textId="7713045F" w:rsidR="00BD3980" w:rsidRPr="00670221" w:rsidRDefault="00E56888" w:rsidP="00D94B74">
            <w:pPr>
              <w:rPr>
                <w:sz w:val="20"/>
                <w:szCs w:val="20"/>
                <w:lang w:val="en-US"/>
              </w:rPr>
            </w:pPr>
            <w:r w:rsidRPr="00670221">
              <w:rPr>
                <w:sz w:val="20"/>
                <w:szCs w:val="20"/>
                <w:lang w:val="en-US"/>
              </w:rPr>
              <w:t>%</w:t>
            </w:r>
          </w:p>
        </w:tc>
      </w:tr>
      <w:tr w:rsidR="00624331" w:rsidRPr="00670221" w14:paraId="7FC7DE3E" w14:textId="77777777" w:rsidTr="000450A4">
        <w:trPr>
          <w:trHeight w:val="90"/>
        </w:trPr>
        <w:tc>
          <w:tcPr>
            <w:tcW w:w="3005" w:type="dxa"/>
          </w:tcPr>
          <w:p w14:paraId="01BEAAF5" w14:textId="1B30439F" w:rsidR="00624331" w:rsidRPr="00670221" w:rsidRDefault="00E56888" w:rsidP="00D94B74">
            <w:pPr>
              <w:rPr>
                <w:sz w:val="20"/>
                <w:szCs w:val="20"/>
                <w:lang w:val="en-US"/>
              </w:rPr>
            </w:pPr>
            <w:r w:rsidRPr="00670221">
              <w:rPr>
                <w:sz w:val="20"/>
                <w:szCs w:val="20"/>
                <w:lang w:val="en-US"/>
              </w:rPr>
              <w:t>Operational hours</w:t>
            </w:r>
          </w:p>
        </w:tc>
        <w:tc>
          <w:tcPr>
            <w:tcW w:w="3005" w:type="dxa"/>
          </w:tcPr>
          <w:p w14:paraId="0AB136E6" w14:textId="4CE2C32F" w:rsidR="00624331" w:rsidRPr="00670221" w:rsidRDefault="00703030" w:rsidP="00D94B74">
            <w:pPr>
              <w:rPr>
                <w:sz w:val="20"/>
                <w:szCs w:val="20"/>
                <w:lang w:val="en-US"/>
              </w:rPr>
            </w:pPr>
            <w:r w:rsidRPr="00670221">
              <w:rPr>
                <w:sz w:val="20"/>
                <w:szCs w:val="20"/>
                <w:lang w:val="en-US"/>
              </w:rPr>
              <w:t>8000</w:t>
            </w:r>
          </w:p>
        </w:tc>
        <w:tc>
          <w:tcPr>
            <w:tcW w:w="3006" w:type="dxa"/>
          </w:tcPr>
          <w:p w14:paraId="4B93CA62" w14:textId="5FACFE48" w:rsidR="00624331" w:rsidRPr="00670221" w:rsidRDefault="00703030" w:rsidP="00EA124D">
            <w:pPr>
              <w:keepNext/>
              <w:rPr>
                <w:sz w:val="20"/>
                <w:szCs w:val="20"/>
                <w:lang w:val="en-US"/>
              </w:rPr>
            </w:pPr>
            <w:r w:rsidRPr="00670221">
              <w:rPr>
                <w:sz w:val="20"/>
                <w:szCs w:val="20"/>
                <w:lang w:val="en-US"/>
              </w:rPr>
              <w:t>Hours/year</w:t>
            </w:r>
          </w:p>
        </w:tc>
      </w:tr>
    </w:tbl>
    <w:p w14:paraId="5CF91D26" w14:textId="4937454E" w:rsidR="00EA124D" w:rsidRPr="00670221" w:rsidRDefault="00EA124D">
      <w:pPr>
        <w:pStyle w:val="Caption"/>
        <w:rPr>
          <w:lang w:val="en-US"/>
        </w:rPr>
      </w:pPr>
      <w:bookmarkStart w:id="97" w:name="_Toc184403596"/>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7</w:t>
      </w:r>
      <w:r w:rsidR="00EF60A5" w:rsidRPr="00670221">
        <w:rPr>
          <w:lang w:val="en-US"/>
        </w:rPr>
        <w:fldChar w:fldCharType="end"/>
      </w:r>
      <w:r w:rsidRPr="00670221">
        <w:rPr>
          <w:lang w:val="en-US"/>
        </w:rPr>
        <w:t>: Economic parameters</w:t>
      </w:r>
      <w:bookmarkEnd w:id="97"/>
    </w:p>
    <w:p w14:paraId="15D23A22" w14:textId="77777777" w:rsidR="00AF6E64" w:rsidRPr="00670221" w:rsidRDefault="00AF6E64" w:rsidP="00AF6E64">
      <w:pPr>
        <w:rPr>
          <w:lang w:val="en-US"/>
        </w:rPr>
      </w:pPr>
    </w:p>
    <w:p w14:paraId="01B22376" w14:textId="490F01F5" w:rsidR="00FB1D4F" w:rsidRPr="00670221" w:rsidRDefault="0006332E" w:rsidP="00FD2230">
      <w:pPr>
        <w:pStyle w:val="Heading2"/>
      </w:pPr>
      <w:bookmarkStart w:id="98" w:name="_Toc184403455"/>
      <w:r w:rsidRPr="00670221">
        <w:t xml:space="preserve">Levelized Cost </w:t>
      </w:r>
      <w:r w:rsidR="004A68E0" w:rsidRPr="00670221">
        <w:t>Analysis</w:t>
      </w:r>
      <w:bookmarkEnd w:id="98"/>
    </w:p>
    <w:p w14:paraId="47553D6A" w14:textId="67039603" w:rsidR="00ED17E1" w:rsidRPr="00670221" w:rsidRDefault="00ED17E1" w:rsidP="00886DDD">
      <w:pPr>
        <w:rPr>
          <w:lang w:val="en-US"/>
        </w:rPr>
      </w:pPr>
      <w:r w:rsidRPr="00670221">
        <w:rPr>
          <w:lang w:val="en-US"/>
        </w:rPr>
        <w:t xml:space="preserve">Section 4.2 addresses the second sub-question, </w:t>
      </w:r>
      <w:proofErr w:type="gramStart"/>
      <w:r w:rsidR="00C43591" w:rsidRPr="00670221">
        <w:rPr>
          <w:b/>
          <w:bCs/>
          <w:lang w:val="en-US"/>
        </w:rPr>
        <w:t>How</w:t>
      </w:r>
      <w:proofErr w:type="gramEnd"/>
      <w:r w:rsidR="00C43591" w:rsidRPr="00670221">
        <w:rPr>
          <w:b/>
          <w:bCs/>
          <w:lang w:val="en-US"/>
        </w:rPr>
        <w:t xml:space="preserve"> do the identified technologies perform in their overall costs?</w:t>
      </w:r>
      <w:r w:rsidRPr="00670221">
        <w:rPr>
          <w:lang w:val="en-US"/>
        </w:rPr>
        <w:t xml:space="preserve"> by first calculating the </w:t>
      </w:r>
      <w:r w:rsidR="00140AE1" w:rsidRPr="00670221">
        <w:rPr>
          <w:lang w:val="en-US"/>
        </w:rPr>
        <w:t xml:space="preserve">CO₂ </w:t>
      </w:r>
      <w:r w:rsidRPr="00670221">
        <w:rPr>
          <w:lang w:val="en-US"/>
        </w:rPr>
        <w:t>costs for DAC and other alternatives. These costs serve as a crucial input for determining the Levelized Cost of Fuel. The LCOF is then calculated for various technological pathways, incorporating different carbon sources, electrolysis technologies, and fuel synthesis methods. These are compared against the cost of fossil kerosene, factoring in the forecasted carbon prices under the EU Emissions Trading System.</w:t>
      </w:r>
    </w:p>
    <w:p w14:paraId="021DA2EC" w14:textId="77777777" w:rsidR="00387EB6" w:rsidRPr="00670221" w:rsidRDefault="00387EB6" w:rsidP="00886DDD">
      <w:pPr>
        <w:rPr>
          <w:lang w:val="en-US"/>
        </w:rPr>
      </w:pPr>
    </w:p>
    <w:p w14:paraId="065E314B" w14:textId="5F7B4590" w:rsidR="004A68E0" w:rsidRPr="00670221" w:rsidRDefault="004A68E0" w:rsidP="004A68E0">
      <w:pPr>
        <w:pStyle w:val="Heading3"/>
      </w:pPr>
      <w:bookmarkStart w:id="99" w:name="_Toc184403456"/>
      <w:r w:rsidRPr="00670221">
        <w:t>Levelized cost of CO2</w:t>
      </w:r>
      <w:bookmarkEnd w:id="99"/>
    </w:p>
    <w:p w14:paraId="10D6B613" w14:textId="3C90DD88" w:rsidR="00C04117" w:rsidRPr="00670221" w:rsidRDefault="003F2CD4" w:rsidP="00C04117">
      <w:pPr>
        <w:keepNext/>
        <w:rPr>
          <w:lang w:val="en-US"/>
        </w:rPr>
      </w:pPr>
      <w:r w:rsidRPr="00670221">
        <w:rPr>
          <w:noProof/>
          <w:lang w:val="en-US"/>
        </w:rPr>
        <w:drawing>
          <wp:inline distT="0" distB="0" distL="0" distR="0" wp14:anchorId="1D60B39E" wp14:editId="1C8F8EE3">
            <wp:extent cx="5731510" cy="3201035"/>
            <wp:effectExtent l="0" t="0" r="0" b="0"/>
            <wp:docPr id="67327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77372" name=""/>
                    <pic:cNvPicPr/>
                  </pic:nvPicPr>
                  <pic:blipFill>
                    <a:blip r:embed="rId42"/>
                    <a:stretch>
                      <a:fillRect/>
                    </a:stretch>
                  </pic:blipFill>
                  <pic:spPr>
                    <a:xfrm>
                      <a:off x="0" y="0"/>
                      <a:ext cx="5731510" cy="3201035"/>
                    </a:xfrm>
                    <a:prstGeom prst="rect">
                      <a:avLst/>
                    </a:prstGeom>
                  </pic:spPr>
                </pic:pic>
              </a:graphicData>
            </a:graphic>
          </wp:inline>
        </w:drawing>
      </w:r>
    </w:p>
    <w:p w14:paraId="0E09F43C" w14:textId="393C212E" w:rsidR="00C04117" w:rsidRPr="00670221" w:rsidRDefault="00C04117" w:rsidP="0089624C">
      <w:pPr>
        <w:pStyle w:val="Caption"/>
        <w:rPr>
          <w:lang w:val="en-US"/>
        </w:rPr>
      </w:pPr>
      <w:bookmarkStart w:id="100" w:name="_Toc184403560"/>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6</w:t>
      </w:r>
      <w:r w:rsidR="002A3EA2" w:rsidRPr="00670221">
        <w:rPr>
          <w:lang w:val="en-US"/>
        </w:rPr>
        <w:fldChar w:fldCharType="end"/>
      </w:r>
      <w:r w:rsidRPr="00670221">
        <w:rPr>
          <w:lang w:val="en-US"/>
        </w:rPr>
        <w:t xml:space="preserve">: </w:t>
      </w:r>
      <w:r w:rsidR="00A52E4A" w:rsidRPr="00670221">
        <w:rPr>
          <w:lang w:val="en-US"/>
        </w:rPr>
        <w:t xml:space="preserve">CO₂ </w:t>
      </w:r>
      <w:r w:rsidR="004965CE" w:rsidRPr="00670221">
        <w:rPr>
          <w:lang w:val="en-US"/>
        </w:rPr>
        <w:t>c</w:t>
      </w:r>
      <w:r w:rsidRPr="00670221">
        <w:rPr>
          <w:lang w:val="en-US"/>
        </w:rPr>
        <w:t xml:space="preserve">ost </w:t>
      </w:r>
      <w:r w:rsidR="004965CE" w:rsidRPr="00670221">
        <w:rPr>
          <w:lang w:val="en-US"/>
        </w:rPr>
        <w:t>c</w:t>
      </w:r>
      <w:r w:rsidRPr="00670221">
        <w:rPr>
          <w:lang w:val="en-US"/>
        </w:rPr>
        <w:t xml:space="preserve">omparison for </w:t>
      </w:r>
      <w:r w:rsidR="004965CE" w:rsidRPr="00670221">
        <w:rPr>
          <w:lang w:val="en-US"/>
        </w:rPr>
        <w:t>b</w:t>
      </w:r>
      <w:r w:rsidRPr="00670221">
        <w:rPr>
          <w:lang w:val="en-US"/>
        </w:rPr>
        <w:t xml:space="preserve">ase </w:t>
      </w:r>
      <w:r w:rsidR="004965CE" w:rsidRPr="00670221">
        <w:rPr>
          <w:lang w:val="en-US"/>
        </w:rPr>
        <w:t>c</w:t>
      </w:r>
      <w:r w:rsidRPr="00670221">
        <w:rPr>
          <w:lang w:val="en-US"/>
        </w:rPr>
        <w:t xml:space="preserve">ase </w:t>
      </w:r>
      <w:r w:rsidR="00E27163" w:rsidRPr="00670221">
        <w:rPr>
          <w:lang w:val="en-US"/>
        </w:rPr>
        <w:t xml:space="preserve">comparing DAC and the proposed </w:t>
      </w:r>
      <w:r w:rsidR="00A52E4A" w:rsidRPr="00670221">
        <w:rPr>
          <w:lang w:val="en-US"/>
        </w:rPr>
        <w:t xml:space="preserve">CO₂ </w:t>
      </w:r>
      <w:r w:rsidR="00814642" w:rsidRPr="00670221">
        <w:rPr>
          <w:lang w:val="en-US"/>
        </w:rPr>
        <w:t xml:space="preserve">sources from table </w:t>
      </w:r>
      <w:r w:rsidR="0003750B" w:rsidRPr="00670221">
        <w:rPr>
          <w:lang w:val="en-US"/>
        </w:rPr>
        <w:t>4</w:t>
      </w:r>
      <w:r w:rsidR="00814642" w:rsidRPr="00670221">
        <w:rPr>
          <w:lang w:val="en-US"/>
        </w:rPr>
        <w:t>.</w:t>
      </w:r>
      <w:r w:rsidR="0003750B" w:rsidRPr="00670221">
        <w:rPr>
          <w:lang w:val="en-US"/>
        </w:rPr>
        <w:t>4</w:t>
      </w:r>
      <w:r w:rsidR="00495BB5" w:rsidRPr="00670221">
        <w:rPr>
          <w:lang w:val="en-US"/>
        </w:rPr>
        <w:t>. The base case assumes</w:t>
      </w:r>
      <w:r w:rsidRPr="00670221">
        <w:rPr>
          <w:lang w:val="en-US"/>
        </w:rPr>
        <w:t xml:space="preserve"> </w:t>
      </w:r>
      <w:proofErr w:type="spellStart"/>
      <w:r w:rsidRPr="00670221">
        <w:rPr>
          <w:lang w:val="en-US"/>
        </w:rPr>
        <w:t>MWhel</w:t>
      </w:r>
      <w:proofErr w:type="spellEnd"/>
      <w:r w:rsidRPr="00670221">
        <w:rPr>
          <w:lang w:val="en-US"/>
        </w:rPr>
        <w:t xml:space="preserve"> = €60,00 and </w:t>
      </w:r>
      <w:proofErr w:type="spellStart"/>
      <w:r w:rsidRPr="00670221">
        <w:rPr>
          <w:lang w:val="en-US"/>
        </w:rPr>
        <w:t>MWhth</w:t>
      </w:r>
      <w:proofErr w:type="spellEnd"/>
      <w:r w:rsidRPr="00670221">
        <w:rPr>
          <w:lang w:val="en-US"/>
        </w:rPr>
        <w:t xml:space="preserve"> = €0,00</w:t>
      </w:r>
      <w:bookmarkEnd w:id="100"/>
    </w:p>
    <w:p w14:paraId="1B9CE6A7" w14:textId="330E21E7" w:rsidR="00E17DD6" w:rsidRPr="00670221" w:rsidRDefault="008E1DF5" w:rsidP="003B0DA9">
      <w:pPr>
        <w:rPr>
          <w:lang w:val="en-US"/>
        </w:rPr>
      </w:pPr>
      <w:r w:rsidRPr="00670221">
        <w:rPr>
          <w:lang w:val="en-US"/>
        </w:rPr>
        <w:lastRenderedPageBreak/>
        <w:t xml:space="preserve">Figure </w:t>
      </w:r>
      <w:r w:rsidR="00CA30FE" w:rsidRPr="00670221">
        <w:rPr>
          <w:lang w:val="en-US"/>
        </w:rPr>
        <w:t>4</w:t>
      </w:r>
      <w:r w:rsidR="00832329" w:rsidRPr="00670221">
        <w:rPr>
          <w:lang w:val="en-US"/>
        </w:rPr>
        <w:t>.</w:t>
      </w:r>
      <w:r w:rsidR="00BA63C0" w:rsidRPr="00670221">
        <w:rPr>
          <w:lang w:val="en-US"/>
        </w:rPr>
        <w:t>6</w:t>
      </w:r>
      <w:r w:rsidR="001A4BCD" w:rsidRPr="00670221">
        <w:rPr>
          <w:lang w:val="en-US"/>
        </w:rPr>
        <w:t xml:space="preserve"> illustrates a comparison of </w:t>
      </w:r>
      <w:proofErr w:type="spellStart"/>
      <w:r w:rsidR="00A52E4A" w:rsidRPr="00670221">
        <w:rPr>
          <w:lang w:val="en-US"/>
        </w:rPr>
        <w:t>CO₂</w:t>
      </w:r>
      <w:r w:rsidR="001A4BCD" w:rsidRPr="00670221">
        <w:rPr>
          <w:lang w:val="en-US"/>
        </w:rPr>
        <w:t>costs</w:t>
      </w:r>
      <w:proofErr w:type="spellEnd"/>
      <w:r w:rsidR="001A4BCD" w:rsidRPr="00670221">
        <w:rPr>
          <w:lang w:val="en-US"/>
        </w:rPr>
        <w:t xml:space="preserve"> from various sources, including </w:t>
      </w:r>
      <w:r w:rsidR="001D7758" w:rsidRPr="00670221">
        <w:rPr>
          <w:lang w:val="en-US"/>
        </w:rPr>
        <w:t>DAC</w:t>
      </w:r>
      <w:r w:rsidR="003F4E60" w:rsidRPr="00670221">
        <w:rPr>
          <w:lang w:val="en-US"/>
        </w:rPr>
        <w:t xml:space="preserve">, </w:t>
      </w:r>
      <w:r w:rsidR="001A4BCD" w:rsidRPr="00670221">
        <w:rPr>
          <w:lang w:val="en-US"/>
        </w:rPr>
        <w:t xml:space="preserve">biogenic </w:t>
      </w:r>
      <w:r w:rsidR="00A52E4A" w:rsidRPr="00670221">
        <w:rPr>
          <w:lang w:val="en-US"/>
        </w:rPr>
        <w:t>CO₂</w:t>
      </w:r>
      <w:r w:rsidR="001A4BCD" w:rsidRPr="00670221">
        <w:rPr>
          <w:lang w:val="en-US"/>
        </w:rPr>
        <w:t xml:space="preserve">, and fossil </w:t>
      </w:r>
      <w:r w:rsidR="000D1FAF" w:rsidRPr="00670221">
        <w:rPr>
          <w:lang w:val="en-US"/>
        </w:rPr>
        <w:t xml:space="preserve">PSC </w:t>
      </w:r>
      <w:r w:rsidR="00A52E4A" w:rsidRPr="00670221">
        <w:rPr>
          <w:lang w:val="en-US"/>
        </w:rPr>
        <w:t>CO₂</w:t>
      </w:r>
      <w:r w:rsidR="001A4BCD" w:rsidRPr="00670221">
        <w:rPr>
          <w:lang w:val="en-US"/>
        </w:rPr>
        <w:t>, across different concentrations over the period 2024-2050.</w:t>
      </w:r>
      <w:r w:rsidRPr="00670221">
        <w:rPr>
          <w:lang w:val="en-US"/>
        </w:rPr>
        <w:t xml:space="preserve"> </w:t>
      </w:r>
      <w:r w:rsidR="00832329" w:rsidRPr="00670221">
        <w:rPr>
          <w:lang w:val="en-US"/>
        </w:rPr>
        <w:t xml:space="preserve">It shows </w:t>
      </w:r>
      <w:r w:rsidR="00521ADD" w:rsidRPr="00670221">
        <w:rPr>
          <w:lang w:val="en-US"/>
        </w:rPr>
        <w:t xml:space="preserve">that the cost of </w:t>
      </w:r>
      <w:r w:rsidR="00A52E4A" w:rsidRPr="00670221">
        <w:rPr>
          <w:lang w:val="en-US"/>
        </w:rPr>
        <w:t xml:space="preserve">CO₂ </w:t>
      </w:r>
      <w:r w:rsidR="00521ADD" w:rsidRPr="00670221">
        <w:rPr>
          <w:lang w:val="en-US"/>
        </w:rPr>
        <w:t xml:space="preserve">captured via </w:t>
      </w:r>
      <w:r w:rsidR="007E7ADB" w:rsidRPr="00670221">
        <w:rPr>
          <w:lang w:val="en-US"/>
        </w:rPr>
        <w:t>d</w:t>
      </w:r>
      <w:r w:rsidR="00521ADD" w:rsidRPr="00670221">
        <w:rPr>
          <w:lang w:val="en-US"/>
        </w:rPr>
        <w:t xml:space="preserve">irect </w:t>
      </w:r>
      <w:r w:rsidR="007E7ADB" w:rsidRPr="00670221">
        <w:rPr>
          <w:lang w:val="en-US"/>
        </w:rPr>
        <w:t>a</w:t>
      </w:r>
      <w:r w:rsidR="00521ADD" w:rsidRPr="00670221">
        <w:rPr>
          <w:lang w:val="en-US"/>
        </w:rPr>
        <w:t xml:space="preserve">ir </w:t>
      </w:r>
      <w:r w:rsidR="007E7ADB" w:rsidRPr="00670221">
        <w:rPr>
          <w:lang w:val="en-US"/>
        </w:rPr>
        <w:t>c</w:t>
      </w:r>
      <w:r w:rsidR="00521ADD" w:rsidRPr="00670221">
        <w:rPr>
          <w:lang w:val="en-US"/>
        </w:rPr>
        <w:t xml:space="preserve">apture remains higher than other </w:t>
      </w:r>
      <w:r w:rsidR="00A52E4A" w:rsidRPr="00670221">
        <w:rPr>
          <w:lang w:val="en-US"/>
        </w:rPr>
        <w:t xml:space="preserve">CO₂ </w:t>
      </w:r>
      <w:r w:rsidR="00521ADD" w:rsidRPr="00670221">
        <w:rPr>
          <w:lang w:val="en-US"/>
        </w:rPr>
        <w:t xml:space="preserve">sources until 2028. From 2028 onward, DAC becomes cheaper than low-concentration fossil </w:t>
      </w:r>
      <w:r w:rsidR="00A52E4A" w:rsidRPr="00670221">
        <w:rPr>
          <w:lang w:val="en-US"/>
        </w:rPr>
        <w:t>CO₂</w:t>
      </w:r>
      <w:r w:rsidR="00521ADD" w:rsidRPr="00670221">
        <w:rPr>
          <w:lang w:val="en-US"/>
        </w:rPr>
        <w:t xml:space="preserve">, and by 2030, it is less expensive than high-concentration fossil </w:t>
      </w:r>
      <w:r w:rsidR="00A52E4A" w:rsidRPr="00670221">
        <w:rPr>
          <w:lang w:val="en-US"/>
        </w:rPr>
        <w:t>CO₂</w:t>
      </w:r>
      <w:r w:rsidR="00521ADD" w:rsidRPr="00670221">
        <w:rPr>
          <w:lang w:val="en-US"/>
        </w:rPr>
        <w:t xml:space="preserve">. The rising cost of </w:t>
      </w:r>
      <w:proofErr w:type="spellStart"/>
      <w:r w:rsidR="00A52E4A" w:rsidRPr="00670221">
        <w:rPr>
          <w:lang w:val="en-US"/>
        </w:rPr>
        <w:t>CO₂</w:t>
      </w:r>
      <w:r w:rsidR="00521ADD" w:rsidRPr="00670221">
        <w:rPr>
          <w:lang w:val="en-US"/>
        </w:rPr>
        <w:t>under</w:t>
      </w:r>
      <w:proofErr w:type="spellEnd"/>
      <w:r w:rsidR="00521ADD" w:rsidRPr="00670221">
        <w:rPr>
          <w:lang w:val="en-US"/>
        </w:rPr>
        <w:t xml:space="preserve"> the EU ETS drives up the costs for fossil-based </w:t>
      </w:r>
      <w:r w:rsidR="00A52E4A" w:rsidRPr="00670221">
        <w:rPr>
          <w:lang w:val="en-US"/>
        </w:rPr>
        <w:t xml:space="preserve">CO₂ </w:t>
      </w:r>
      <w:r w:rsidR="00521ADD" w:rsidRPr="00670221">
        <w:rPr>
          <w:lang w:val="en-US"/>
        </w:rPr>
        <w:t xml:space="preserve">sources, which is already a significant cost component in 2025, with prices nearing €100/ton. DAC surpasses low-concentration biogenic </w:t>
      </w:r>
      <w:r w:rsidR="00A52E4A" w:rsidRPr="00670221">
        <w:rPr>
          <w:lang w:val="en-US"/>
        </w:rPr>
        <w:t xml:space="preserve">CO₂ </w:t>
      </w:r>
      <w:r w:rsidR="00521ADD" w:rsidRPr="00670221">
        <w:rPr>
          <w:lang w:val="en-US"/>
        </w:rPr>
        <w:t xml:space="preserve">in cost efficiency for the first time </w:t>
      </w:r>
      <w:r w:rsidR="00B41981" w:rsidRPr="00670221">
        <w:rPr>
          <w:lang w:val="en-US"/>
        </w:rPr>
        <w:t>in</w:t>
      </w:r>
      <w:r w:rsidR="00521ADD" w:rsidRPr="00670221">
        <w:rPr>
          <w:lang w:val="en-US"/>
        </w:rPr>
        <w:t xml:space="preserve"> 2040. While DAC </w:t>
      </w:r>
      <w:r w:rsidR="00A52E4A" w:rsidRPr="00670221">
        <w:rPr>
          <w:lang w:val="en-US"/>
        </w:rPr>
        <w:t xml:space="preserve">CO₂ </w:t>
      </w:r>
      <w:r w:rsidR="00521ADD" w:rsidRPr="00670221">
        <w:rPr>
          <w:lang w:val="en-US"/>
        </w:rPr>
        <w:t xml:space="preserve">prices approach those of high-concentration biogenic </w:t>
      </w:r>
      <w:r w:rsidR="00A52E4A" w:rsidRPr="00670221">
        <w:rPr>
          <w:lang w:val="en-US"/>
        </w:rPr>
        <w:t>CO₂</w:t>
      </w:r>
      <w:r w:rsidR="00521ADD" w:rsidRPr="00670221">
        <w:rPr>
          <w:lang w:val="en-US"/>
        </w:rPr>
        <w:t>, the latter remains the cheapest option throughout the data set</w:t>
      </w:r>
      <w:r w:rsidR="00677C07" w:rsidRPr="00670221">
        <w:rPr>
          <w:lang w:val="en-US"/>
        </w:rPr>
        <w:t xml:space="preserve"> at 52,80 €/ton</w:t>
      </w:r>
      <w:r w:rsidR="00035A6D" w:rsidRPr="00670221">
        <w:rPr>
          <w:lang w:val="en-US"/>
        </w:rPr>
        <w:t xml:space="preserve">. </w:t>
      </w:r>
    </w:p>
    <w:p w14:paraId="31A34B1F" w14:textId="0EA60FF2" w:rsidR="00E17DD6" w:rsidRPr="00670221" w:rsidRDefault="00E17DD6" w:rsidP="003B0DA9">
      <w:pPr>
        <w:rPr>
          <w:lang w:val="en-US"/>
        </w:rPr>
      </w:pPr>
      <w:r w:rsidRPr="00670221">
        <w:rPr>
          <w:lang w:val="en-US"/>
        </w:rPr>
        <w:t xml:space="preserve">To maintain clarity in the next section, </w:t>
      </w:r>
      <w:r w:rsidR="00C16188" w:rsidRPr="00670221">
        <w:rPr>
          <w:lang w:val="en-US"/>
        </w:rPr>
        <w:t xml:space="preserve">only </w:t>
      </w:r>
      <w:r w:rsidRPr="00670221">
        <w:rPr>
          <w:lang w:val="en-US"/>
        </w:rPr>
        <w:t xml:space="preserve">DAC and high-concentration biogenic </w:t>
      </w:r>
      <w:r w:rsidR="00A52E4A" w:rsidRPr="00670221">
        <w:rPr>
          <w:lang w:val="en-US"/>
        </w:rPr>
        <w:t xml:space="preserve">CO₂ </w:t>
      </w:r>
      <w:r w:rsidRPr="00670221">
        <w:rPr>
          <w:lang w:val="en-US"/>
        </w:rPr>
        <w:t xml:space="preserve">were compared in the technological pathways analysis, as high-concentration biogenic </w:t>
      </w:r>
      <w:r w:rsidR="00A52E4A" w:rsidRPr="00670221">
        <w:rPr>
          <w:lang w:val="en-US"/>
        </w:rPr>
        <w:t xml:space="preserve">CO₂ </w:t>
      </w:r>
      <w:r w:rsidRPr="00670221">
        <w:rPr>
          <w:lang w:val="en-US"/>
        </w:rPr>
        <w:t xml:space="preserve">remains the most cost-effective </w:t>
      </w:r>
      <w:r w:rsidR="00A52E4A" w:rsidRPr="00670221">
        <w:rPr>
          <w:lang w:val="en-US"/>
        </w:rPr>
        <w:t xml:space="preserve">CO₂ </w:t>
      </w:r>
      <w:r w:rsidRPr="00670221">
        <w:rPr>
          <w:lang w:val="en-US"/>
        </w:rPr>
        <w:t xml:space="preserve">source. Differences between other </w:t>
      </w:r>
      <w:r w:rsidR="00A52E4A" w:rsidRPr="00670221">
        <w:rPr>
          <w:lang w:val="en-US"/>
        </w:rPr>
        <w:t xml:space="preserve">CO₂ </w:t>
      </w:r>
      <w:r w:rsidRPr="00670221">
        <w:rPr>
          <w:lang w:val="en-US"/>
        </w:rPr>
        <w:t xml:space="preserve">sources will be referenced from Figure </w:t>
      </w:r>
      <w:r w:rsidR="002D247F" w:rsidRPr="00670221">
        <w:rPr>
          <w:lang w:val="en-US"/>
        </w:rPr>
        <w:t>4.</w:t>
      </w:r>
      <w:r w:rsidR="003E6C68" w:rsidRPr="00670221">
        <w:rPr>
          <w:lang w:val="en-US"/>
        </w:rPr>
        <w:t>6</w:t>
      </w:r>
      <w:r w:rsidRPr="00670221">
        <w:rPr>
          <w:lang w:val="en-US"/>
        </w:rPr>
        <w:t>.</w:t>
      </w:r>
    </w:p>
    <w:p w14:paraId="75F0A01D" w14:textId="77777777" w:rsidR="00387EB6" w:rsidRPr="00670221" w:rsidRDefault="00387EB6" w:rsidP="003B0DA9">
      <w:pPr>
        <w:rPr>
          <w:lang w:val="en-US"/>
        </w:rPr>
      </w:pPr>
    </w:p>
    <w:p w14:paraId="58D824E2" w14:textId="32596378" w:rsidR="004A68E0" w:rsidRPr="00670221" w:rsidRDefault="004A68E0" w:rsidP="004A68E0">
      <w:pPr>
        <w:pStyle w:val="Heading3"/>
      </w:pPr>
      <w:bookmarkStart w:id="101" w:name="_Toc184403457"/>
      <w:r w:rsidRPr="00670221">
        <w:t xml:space="preserve">Levelized cost of </w:t>
      </w:r>
      <w:proofErr w:type="spellStart"/>
      <w:r w:rsidRPr="00670221">
        <w:t>eSAF</w:t>
      </w:r>
      <w:proofErr w:type="spellEnd"/>
      <w:r w:rsidR="00F33F9B" w:rsidRPr="00670221">
        <w:t xml:space="preserve"> </w:t>
      </w:r>
      <w:r w:rsidR="002409D5" w:rsidRPr="00670221">
        <w:t>O</w:t>
      </w:r>
      <w:r w:rsidR="00F33F9B" w:rsidRPr="00670221">
        <w:t>utlook</w:t>
      </w:r>
      <w:bookmarkEnd w:id="101"/>
    </w:p>
    <w:p w14:paraId="36C245A6" w14:textId="0FE53731" w:rsidR="00A8718E" w:rsidRPr="00670221" w:rsidRDefault="003F2CD4" w:rsidP="00A8718E">
      <w:pPr>
        <w:keepNext/>
        <w:rPr>
          <w:lang w:val="en-US"/>
        </w:rPr>
      </w:pPr>
      <w:r w:rsidRPr="00670221">
        <w:rPr>
          <w:noProof/>
          <w:lang w:val="en-US"/>
        </w:rPr>
        <w:drawing>
          <wp:inline distT="0" distB="0" distL="0" distR="0" wp14:anchorId="4213375C" wp14:editId="67831CFA">
            <wp:extent cx="5731510" cy="3997960"/>
            <wp:effectExtent l="0" t="0" r="0" b="2540"/>
            <wp:docPr id="2093356416" name="Picture 1" descr="A graph showing the cost of fu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56416" name="Picture 1" descr="A graph showing the cost of fuel&#10;&#10;Description automatically generated"/>
                    <pic:cNvPicPr/>
                  </pic:nvPicPr>
                  <pic:blipFill>
                    <a:blip r:embed="rId43"/>
                    <a:stretch>
                      <a:fillRect/>
                    </a:stretch>
                  </pic:blipFill>
                  <pic:spPr>
                    <a:xfrm>
                      <a:off x="0" y="0"/>
                      <a:ext cx="5731510" cy="3997960"/>
                    </a:xfrm>
                    <a:prstGeom prst="rect">
                      <a:avLst/>
                    </a:prstGeom>
                  </pic:spPr>
                </pic:pic>
              </a:graphicData>
            </a:graphic>
          </wp:inline>
        </w:drawing>
      </w:r>
    </w:p>
    <w:p w14:paraId="3245EB46" w14:textId="7C6B3487" w:rsidR="004320BE" w:rsidRPr="00670221" w:rsidRDefault="00A8718E" w:rsidP="004965CE">
      <w:pPr>
        <w:pStyle w:val="Caption"/>
        <w:rPr>
          <w:lang w:val="en-US"/>
        </w:rPr>
      </w:pPr>
      <w:bookmarkStart w:id="102" w:name="_Toc184403561"/>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7</w:t>
      </w:r>
      <w:r w:rsidR="002A3EA2" w:rsidRPr="00670221">
        <w:rPr>
          <w:lang w:val="en-US"/>
        </w:rPr>
        <w:fldChar w:fldCharType="end"/>
      </w:r>
      <w:r w:rsidRPr="00670221">
        <w:rPr>
          <w:lang w:val="en-US"/>
        </w:rPr>
        <w:t>: Levelized cost of e</w:t>
      </w:r>
      <w:r w:rsidR="00C73C13">
        <w:rPr>
          <w:lang w:val="en-US"/>
        </w:rPr>
        <w:t>-</w:t>
      </w:r>
      <w:r w:rsidRPr="00670221">
        <w:rPr>
          <w:lang w:val="en-US"/>
        </w:rPr>
        <w:t>fuel</w:t>
      </w:r>
      <w:r w:rsidR="004965CE" w:rsidRPr="00670221">
        <w:rPr>
          <w:lang w:val="en-US"/>
        </w:rPr>
        <w:t xml:space="preserve"> for base case with </w:t>
      </w:r>
      <w:proofErr w:type="spellStart"/>
      <w:r w:rsidR="004965CE" w:rsidRPr="00670221">
        <w:rPr>
          <w:lang w:val="en-US"/>
        </w:rPr>
        <w:t>MWhel</w:t>
      </w:r>
      <w:proofErr w:type="spellEnd"/>
      <w:r w:rsidR="004965CE" w:rsidRPr="00670221">
        <w:rPr>
          <w:lang w:val="en-US"/>
        </w:rPr>
        <w:t xml:space="preserve"> = €60,00 and </w:t>
      </w:r>
      <w:proofErr w:type="spellStart"/>
      <w:r w:rsidR="004965CE" w:rsidRPr="00670221">
        <w:rPr>
          <w:lang w:val="en-US"/>
        </w:rPr>
        <w:t>MWhth</w:t>
      </w:r>
      <w:proofErr w:type="spellEnd"/>
      <w:r w:rsidR="004965CE" w:rsidRPr="00670221">
        <w:rPr>
          <w:lang w:val="en-US"/>
        </w:rPr>
        <w:t xml:space="preserve"> = €0,00</w:t>
      </w:r>
      <w:bookmarkEnd w:id="102"/>
    </w:p>
    <w:p w14:paraId="4454C193" w14:textId="537E435F" w:rsidR="000D3BA5" w:rsidRPr="00670221" w:rsidRDefault="000D3BA5" w:rsidP="000D3BA5">
      <w:pPr>
        <w:rPr>
          <w:lang w:val="en-US"/>
        </w:rPr>
      </w:pPr>
      <w:r w:rsidRPr="00670221">
        <w:rPr>
          <w:lang w:val="en-US"/>
        </w:rPr>
        <w:t xml:space="preserve">Figure </w:t>
      </w:r>
      <w:r w:rsidR="002D247F" w:rsidRPr="00670221">
        <w:rPr>
          <w:lang w:val="en-US"/>
        </w:rPr>
        <w:t>4</w:t>
      </w:r>
      <w:r w:rsidRPr="00670221">
        <w:rPr>
          <w:lang w:val="en-US"/>
        </w:rPr>
        <w:t>.</w:t>
      </w:r>
      <w:r w:rsidR="002D247F" w:rsidRPr="00670221">
        <w:rPr>
          <w:lang w:val="en-US"/>
        </w:rPr>
        <w:t>7</w:t>
      </w:r>
      <w:r w:rsidRPr="00670221">
        <w:rPr>
          <w:lang w:val="en-US"/>
        </w:rPr>
        <w:t xml:space="preserve"> presents the alternative technological routes and feedstocks studied, alongside the fossil kerosene price, which includes EU ETS costs. As anticipated from earlier results, the most expensive alternative, represented by the </w:t>
      </w:r>
      <w:r w:rsidR="003F73FD" w:rsidRPr="00670221">
        <w:rPr>
          <w:lang w:val="en-US"/>
        </w:rPr>
        <w:t>dark blue</w:t>
      </w:r>
      <w:r w:rsidRPr="00670221">
        <w:rPr>
          <w:lang w:val="en-US"/>
        </w:rPr>
        <w:t xml:space="preserve"> line, includes DAC. Despite experiencing the largest cost reduction, from €4.20/liter to €2.07/liter, DAC combined with co-electrolysis and Fischer-</w:t>
      </w:r>
      <w:proofErr w:type="spellStart"/>
      <w:r w:rsidRPr="00670221">
        <w:rPr>
          <w:lang w:val="en-US"/>
        </w:rPr>
        <w:t>Tropsch</w:t>
      </w:r>
      <w:proofErr w:type="spellEnd"/>
      <w:r w:rsidRPr="00670221">
        <w:rPr>
          <w:lang w:val="en-US"/>
        </w:rPr>
        <w:t xml:space="preserve"> synthesis remains the costliest route throughout the </w:t>
      </w:r>
      <w:r w:rsidR="003F73FD" w:rsidRPr="00670221">
        <w:rPr>
          <w:lang w:val="en-US"/>
        </w:rPr>
        <w:t>period</w:t>
      </w:r>
      <w:r w:rsidRPr="00670221">
        <w:rPr>
          <w:lang w:val="en-US"/>
        </w:rPr>
        <w:t xml:space="preserve"> up to 2050. Depending on whether EU ETS costs are applied to fossil kerosene, which may not occur until </w:t>
      </w:r>
      <w:r w:rsidRPr="00670221">
        <w:rPr>
          <w:lang w:val="en-US"/>
        </w:rPr>
        <w:lastRenderedPageBreak/>
        <w:t>the free allocation of credits ends in 2026, this alternative is currently 6 to 9 times more expensive than fossil kerosene.</w:t>
      </w:r>
    </w:p>
    <w:p w14:paraId="5CC2FB99" w14:textId="33397284" w:rsidR="000D3BA5" w:rsidRPr="00670221" w:rsidRDefault="000D3BA5" w:rsidP="000D3BA5">
      <w:pPr>
        <w:rPr>
          <w:lang w:val="en-US"/>
        </w:rPr>
      </w:pPr>
      <w:r w:rsidRPr="00670221">
        <w:rPr>
          <w:lang w:val="en-US"/>
        </w:rPr>
        <w:t xml:space="preserve">On the other hand, the cheapest current </w:t>
      </w:r>
      <w:proofErr w:type="spellStart"/>
      <w:r w:rsidRPr="00670221">
        <w:rPr>
          <w:lang w:val="en-US"/>
        </w:rPr>
        <w:t>eSAF</w:t>
      </w:r>
      <w:proofErr w:type="spellEnd"/>
      <w:r w:rsidRPr="00670221">
        <w:rPr>
          <w:lang w:val="en-US"/>
        </w:rPr>
        <w:t xml:space="preserve"> option is PEM + RWGS + FT with biogenic </w:t>
      </w:r>
      <w:r w:rsidR="00AE3224" w:rsidRPr="00670221">
        <w:rPr>
          <w:lang w:val="en-US"/>
        </w:rPr>
        <w:t>CO₂</w:t>
      </w:r>
      <w:r w:rsidRPr="00670221">
        <w:rPr>
          <w:lang w:val="en-US"/>
        </w:rPr>
        <w:t xml:space="preserve">, indicated by the </w:t>
      </w:r>
      <w:r w:rsidR="003F73FD" w:rsidRPr="00670221">
        <w:rPr>
          <w:lang w:val="en-US"/>
        </w:rPr>
        <w:t>orange</w:t>
      </w:r>
      <w:r w:rsidRPr="00670221">
        <w:rPr>
          <w:lang w:val="en-US"/>
        </w:rPr>
        <w:t xml:space="preserve"> line, with a levelized cost of €2.27/liter in 2024. This </w:t>
      </w:r>
      <w:r w:rsidR="00A40273" w:rsidRPr="00670221">
        <w:rPr>
          <w:lang w:val="en-US"/>
        </w:rPr>
        <w:t>technology</w:t>
      </w:r>
      <w:r w:rsidRPr="00670221">
        <w:rPr>
          <w:lang w:val="en-US"/>
        </w:rPr>
        <w:t xml:space="preserve"> is</w:t>
      </w:r>
      <w:r w:rsidR="00A25066" w:rsidRPr="00670221">
        <w:rPr>
          <w:lang w:val="en-US"/>
        </w:rPr>
        <w:t xml:space="preserve"> currently</w:t>
      </w:r>
      <w:r w:rsidRPr="00670221">
        <w:rPr>
          <w:lang w:val="en-US"/>
        </w:rPr>
        <w:t xml:space="preserve"> 4 to 5 times more expensive than fossil jet fuel </w:t>
      </w:r>
      <w:r w:rsidR="00A25066" w:rsidRPr="00670221">
        <w:rPr>
          <w:lang w:val="en-US"/>
        </w:rPr>
        <w:t>and</w:t>
      </w:r>
      <w:r w:rsidRPr="00670221">
        <w:rPr>
          <w:lang w:val="en-US"/>
        </w:rPr>
        <w:t xml:space="preserve"> remains the most cost-effective throughout the timeline.</w:t>
      </w:r>
    </w:p>
    <w:p w14:paraId="3FCAD5B0" w14:textId="1F9CC7A2" w:rsidR="000D3BA5" w:rsidRPr="00670221" w:rsidRDefault="00B274FB" w:rsidP="000D3BA5">
      <w:pPr>
        <w:rPr>
          <w:lang w:val="en-US"/>
        </w:rPr>
      </w:pPr>
      <w:r w:rsidRPr="00670221">
        <w:rPr>
          <w:lang w:val="en-US"/>
        </w:rPr>
        <w:t>T</w:t>
      </w:r>
      <w:r w:rsidR="000D3BA5" w:rsidRPr="00670221">
        <w:rPr>
          <w:lang w:val="en-US"/>
        </w:rPr>
        <w:t xml:space="preserve">he </w:t>
      </w:r>
      <w:r w:rsidR="003F73FD" w:rsidRPr="00670221">
        <w:rPr>
          <w:lang w:val="en-US"/>
        </w:rPr>
        <w:t>light</w:t>
      </w:r>
      <w:r w:rsidR="000D3BA5" w:rsidRPr="00670221">
        <w:rPr>
          <w:lang w:val="en-US"/>
        </w:rPr>
        <w:t xml:space="preserve"> blue line, which shows PEM + RWGS + FT with DAC, is initially more expensive than co-electrolysis + FT with biogenic CO2</w:t>
      </w:r>
      <w:r w:rsidR="003F73FD" w:rsidRPr="00670221">
        <w:rPr>
          <w:lang w:val="en-US"/>
        </w:rPr>
        <w:t xml:space="preserve"> (yellow line)</w:t>
      </w:r>
      <w:r w:rsidR="000D3BA5" w:rsidRPr="00670221">
        <w:rPr>
          <w:lang w:val="en-US"/>
        </w:rPr>
        <w:t xml:space="preserve">. However, by 2033, it becomes more cost-effective </w:t>
      </w:r>
      <w:r w:rsidR="00595B61" w:rsidRPr="00670221">
        <w:rPr>
          <w:lang w:val="en-US"/>
        </w:rPr>
        <w:t>than yellow</w:t>
      </w:r>
      <w:r w:rsidR="000353AE" w:rsidRPr="00670221">
        <w:rPr>
          <w:lang w:val="en-US"/>
        </w:rPr>
        <w:t>.</w:t>
      </w:r>
    </w:p>
    <w:p w14:paraId="5169C572" w14:textId="74FE08DD" w:rsidR="000D3BA5" w:rsidRPr="00670221" w:rsidRDefault="00815893" w:rsidP="000D3BA5">
      <w:pPr>
        <w:rPr>
          <w:lang w:val="en-US"/>
        </w:rPr>
      </w:pPr>
      <w:r w:rsidRPr="00670221">
        <w:rPr>
          <w:lang w:val="en-US"/>
        </w:rPr>
        <w:t xml:space="preserve">The </w:t>
      </w:r>
      <w:r w:rsidR="00F204BE" w:rsidRPr="00670221">
        <w:rPr>
          <w:lang w:val="en-US"/>
        </w:rPr>
        <w:t xml:space="preserve">levelized </w:t>
      </w:r>
      <w:r w:rsidRPr="00670221">
        <w:rPr>
          <w:lang w:val="en-US"/>
        </w:rPr>
        <w:t xml:space="preserve">cost of fossil kerosene is </w:t>
      </w:r>
      <w:r w:rsidR="00661F1F" w:rsidRPr="00670221">
        <w:rPr>
          <w:lang w:val="en-US"/>
        </w:rPr>
        <w:t xml:space="preserve">described by the </w:t>
      </w:r>
      <w:r w:rsidR="003F73FD" w:rsidRPr="00670221">
        <w:rPr>
          <w:lang w:val="en-US"/>
        </w:rPr>
        <w:t>dark grey</w:t>
      </w:r>
      <w:r w:rsidR="00661F1F" w:rsidRPr="00670221">
        <w:rPr>
          <w:lang w:val="en-US"/>
        </w:rPr>
        <w:t xml:space="preserve"> line</w:t>
      </w:r>
      <w:r w:rsidR="003F73FD" w:rsidRPr="00670221">
        <w:rPr>
          <w:lang w:val="en-US"/>
        </w:rPr>
        <w:t xml:space="preserve"> </w:t>
      </w:r>
      <w:r w:rsidR="00F204BE" w:rsidRPr="00670221">
        <w:rPr>
          <w:lang w:val="en-US"/>
        </w:rPr>
        <w:t xml:space="preserve">seen moving upwards until 2041. </w:t>
      </w:r>
      <w:r w:rsidR="000A4DE6" w:rsidRPr="00670221">
        <w:rPr>
          <w:lang w:val="en-US"/>
        </w:rPr>
        <w:t>This can be attributed to the EU ETS price</w:t>
      </w:r>
      <w:r w:rsidR="00E36D84" w:rsidRPr="00670221">
        <w:rPr>
          <w:lang w:val="en-US"/>
        </w:rPr>
        <w:t xml:space="preserve">, as no other data is incorporated into this </w:t>
      </w:r>
      <w:r w:rsidR="00F764A2" w:rsidRPr="00670221">
        <w:rPr>
          <w:lang w:val="en-US"/>
        </w:rPr>
        <w:t xml:space="preserve">price besides an average EU </w:t>
      </w:r>
      <w:r w:rsidR="003F73FD" w:rsidRPr="00670221">
        <w:rPr>
          <w:lang w:val="en-US"/>
        </w:rPr>
        <w:t>jet fuel</w:t>
      </w:r>
      <w:r w:rsidR="00F764A2" w:rsidRPr="00670221">
        <w:rPr>
          <w:lang w:val="en-US"/>
        </w:rPr>
        <w:t xml:space="preserve"> price </w:t>
      </w:r>
      <w:r w:rsidR="001063F4" w:rsidRPr="00670221">
        <w:rPr>
          <w:lang w:val="en-US"/>
        </w:rPr>
        <w:t xml:space="preserve">based </w:t>
      </w:r>
      <w:r w:rsidR="009C7AF2" w:rsidRPr="00670221">
        <w:rPr>
          <w:lang w:val="en-US"/>
        </w:rPr>
        <w:t>on</w:t>
      </w:r>
      <w:r w:rsidR="008D7359" w:rsidRPr="00670221">
        <w:rPr>
          <w:lang w:val="en-US"/>
        </w:rPr>
        <w:t xml:space="preserve"> the Jet Fuel Price Monitor from IATA </w:t>
      </w:r>
      <w:r w:rsidR="00ED7AFB" w:rsidRPr="00670221">
        <w:rPr>
          <w:lang w:val="en-US"/>
        </w:rPr>
        <w:t>(</w:t>
      </w:r>
      <w:r w:rsidR="00ED7AFB" w:rsidRPr="00670221">
        <w:rPr>
          <w:i/>
          <w:iCs/>
          <w:lang w:val="en-US"/>
        </w:rPr>
        <w:t>Jet Fuel Price Monitor</w:t>
      </w:r>
      <w:r w:rsidR="00ED7AFB" w:rsidRPr="00670221">
        <w:rPr>
          <w:lang w:val="en-US"/>
        </w:rPr>
        <w:t>, n.d.)</w:t>
      </w:r>
      <w:r w:rsidR="000A4DE6" w:rsidRPr="00670221">
        <w:rPr>
          <w:lang w:val="en-US"/>
        </w:rPr>
        <w:t>.</w:t>
      </w:r>
      <w:r w:rsidR="003F73FD" w:rsidRPr="00670221">
        <w:rPr>
          <w:lang w:val="en-US"/>
        </w:rPr>
        <w:t xml:space="preserve"> Due t</w:t>
      </w:r>
      <w:r w:rsidR="00FE7769" w:rsidRPr="00670221">
        <w:rPr>
          <w:lang w:val="en-US"/>
        </w:rPr>
        <w:t xml:space="preserve">o an increasing amount of uncertainty in future </w:t>
      </w:r>
      <w:r w:rsidR="006D00AB" w:rsidRPr="00670221">
        <w:rPr>
          <w:lang w:val="en-US"/>
        </w:rPr>
        <w:t xml:space="preserve">EU ETS </w:t>
      </w:r>
      <w:r w:rsidR="00FE7769" w:rsidRPr="00670221">
        <w:rPr>
          <w:lang w:val="en-US"/>
        </w:rPr>
        <w:t xml:space="preserve">price predictions </w:t>
      </w:r>
      <w:r w:rsidR="006D00AB" w:rsidRPr="00670221">
        <w:rPr>
          <w:lang w:val="en-US"/>
        </w:rPr>
        <w:t xml:space="preserve">and limited data on such predictions, the </w:t>
      </w:r>
      <w:r w:rsidR="00F16153" w:rsidRPr="00670221">
        <w:rPr>
          <w:lang w:val="en-US"/>
        </w:rPr>
        <w:t>levelized cost of jet fuel is depicted until 2041.</w:t>
      </w:r>
    </w:p>
    <w:p w14:paraId="1746FD29" w14:textId="572EDCCB" w:rsidR="003519D9" w:rsidRPr="00670221" w:rsidRDefault="001E0E62" w:rsidP="000D3BA5">
      <w:pPr>
        <w:rPr>
          <w:lang w:val="en-US"/>
        </w:rPr>
      </w:pPr>
      <w:r w:rsidRPr="00670221">
        <w:rPr>
          <w:lang w:val="en-US"/>
        </w:rPr>
        <w:t xml:space="preserve">By 2050, the levelized cost of </w:t>
      </w:r>
      <w:proofErr w:type="spellStart"/>
      <w:r w:rsidRPr="00670221">
        <w:rPr>
          <w:lang w:val="en-US"/>
        </w:rPr>
        <w:t>eSAF</w:t>
      </w:r>
      <w:proofErr w:type="spellEnd"/>
      <w:r w:rsidRPr="00670221">
        <w:rPr>
          <w:lang w:val="en-US"/>
        </w:rPr>
        <w:t xml:space="preserve"> is projected to approach either €1.80 or €2.00 per liter, depending on the electrolysis technology used, with PEM being the more cost-effective option. When compared to the </w:t>
      </w:r>
      <w:r w:rsidR="00D42330" w:rsidRPr="00670221">
        <w:rPr>
          <w:lang w:val="en-US"/>
        </w:rPr>
        <w:t>furthest projected</w:t>
      </w:r>
      <w:r w:rsidRPr="00670221">
        <w:rPr>
          <w:lang w:val="en-US"/>
        </w:rPr>
        <w:t xml:space="preserve"> fossil kerosene price estimate</w:t>
      </w:r>
      <w:r w:rsidR="00C67DB9" w:rsidRPr="00670221">
        <w:rPr>
          <w:lang w:val="en-US"/>
        </w:rPr>
        <w:t>, which is</w:t>
      </w:r>
      <w:r w:rsidRPr="00670221">
        <w:rPr>
          <w:lang w:val="en-US"/>
        </w:rPr>
        <w:t xml:space="preserve"> 2041, all </w:t>
      </w:r>
      <w:proofErr w:type="spellStart"/>
      <w:r w:rsidRPr="00670221">
        <w:rPr>
          <w:lang w:val="en-US"/>
        </w:rPr>
        <w:t>eSAF</w:t>
      </w:r>
      <w:proofErr w:type="spellEnd"/>
      <w:r w:rsidRPr="00670221">
        <w:rPr>
          <w:lang w:val="en-US"/>
        </w:rPr>
        <w:t xml:space="preserve"> production pathways in 2050 are expected to range from 1 to 2 times the cost of fossil kerosene.</w:t>
      </w:r>
    </w:p>
    <w:p w14:paraId="0C532E02" w14:textId="77777777" w:rsidR="00886DDD" w:rsidRPr="00670221" w:rsidRDefault="00886DDD" w:rsidP="000D3BA5">
      <w:pPr>
        <w:rPr>
          <w:lang w:val="en-US"/>
        </w:rPr>
      </w:pPr>
    </w:p>
    <w:p w14:paraId="7C4C83B5" w14:textId="4B96C035" w:rsidR="002409D5" w:rsidRPr="00670221" w:rsidRDefault="003519D9" w:rsidP="00886DDD">
      <w:pPr>
        <w:pStyle w:val="Heading2"/>
      </w:pPr>
      <w:bookmarkStart w:id="103" w:name="_Toc184403458"/>
      <w:r w:rsidRPr="00670221">
        <w:t>Levelized Cost Breakdown</w:t>
      </w:r>
      <w:bookmarkEnd w:id="103"/>
    </w:p>
    <w:p w14:paraId="563B18BB" w14:textId="627585ED" w:rsidR="00341E40" w:rsidRPr="00670221" w:rsidRDefault="00341E40" w:rsidP="00FA3B83">
      <w:pPr>
        <w:rPr>
          <w:lang w:val="en-US"/>
        </w:rPr>
      </w:pPr>
      <w:r w:rsidRPr="00670221">
        <w:rPr>
          <w:lang w:val="en-US"/>
        </w:rPr>
        <w:t>To address the third sub question, "</w:t>
      </w:r>
      <w:r w:rsidR="006C4BB0" w:rsidRPr="00670221">
        <w:rPr>
          <w:lang w:val="en-US"/>
        </w:rPr>
        <w:t xml:space="preserve"> </w:t>
      </w:r>
      <w:r w:rsidR="006C4BB0" w:rsidRPr="00670221">
        <w:rPr>
          <w:b/>
          <w:bCs/>
          <w:lang w:val="en-US"/>
        </w:rPr>
        <w:t xml:space="preserve">What are the key cost drivers within each </w:t>
      </w:r>
      <w:proofErr w:type="spellStart"/>
      <w:r w:rsidR="006C4BB0" w:rsidRPr="00670221">
        <w:rPr>
          <w:b/>
          <w:bCs/>
          <w:lang w:val="en-US"/>
        </w:rPr>
        <w:t>eSAF</w:t>
      </w:r>
      <w:proofErr w:type="spellEnd"/>
      <w:r w:rsidR="006C4BB0" w:rsidRPr="00670221">
        <w:rPr>
          <w:b/>
          <w:bCs/>
          <w:lang w:val="en-US"/>
        </w:rPr>
        <w:t xml:space="preserve"> </w:t>
      </w:r>
      <w:r w:rsidR="00180281" w:rsidRPr="00670221">
        <w:rPr>
          <w:b/>
          <w:bCs/>
          <w:lang w:val="en-US"/>
        </w:rPr>
        <w:t>technology</w:t>
      </w:r>
      <w:r w:rsidR="006C4BB0" w:rsidRPr="00670221">
        <w:rPr>
          <w:b/>
          <w:bCs/>
          <w:lang w:val="en-US"/>
        </w:rPr>
        <w:t>, and how do these components evolve over time</w:t>
      </w:r>
      <w:r w:rsidR="00AF6E64" w:rsidRPr="00670221">
        <w:rPr>
          <w:b/>
          <w:bCs/>
          <w:lang w:val="en-US"/>
        </w:rPr>
        <w:t>?</w:t>
      </w:r>
      <w:r w:rsidR="00AF6E64" w:rsidRPr="00670221">
        <w:rPr>
          <w:lang w:val="en-US"/>
        </w:rPr>
        <w:t>”,</w:t>
      </w:r>
      <w:r w:rsidR="00AF6E64" w:rsidRPr="00670221">
        <w:rPr>
          <w:b/>
          <w:bCs/>
          <w:lang w:val="en-US"/>
        </w:rPr>
        <w:t xml:space="preserve"> </w:t>
      </w:r>
      <w:r w:rsidRPr="00670221">
        <w:rPr>
          <w:lang w:val="en-US"/>
        </w:rPr>
        <w:t xml:space="preserve">the following section presents a detailed breakdown of the levelized cost of </w:t>
      </w:r>
      <w:proofErr w:type="spellStart"/>
      <w:r w:rsidRPr="00670221">
        <w:rPr>
          <w:lang w:val="en-US"/>
        </w:rPr>
        <w:t>eSAF</w:t>
      </w:r>
      <w:proofErr w:type="spellEnd"/>
      <w:r w:rsidRPr="00670221">
        <w:rPr>
          <w:lang w:val="en-US"/>
        </w:rPr>
        <w:t xml:space="preserve"> for the years 2024, 2035, and 2050. Several production pathways are analyzed, incorporating different electrolysis technologies combined with either direct air capture or biogenic CO₂ sources. An alternative representation of the results is provided in Appendix </w:t>
      </w:r>
      <w:r w:rsidR="00CE1AAA" w:rsidRPr="00670221">
        <w:rPr>
          <w:lang w:val="en-US"/>
        </w:rPr>
        <w:t>H</w:t>
      </w:r>
      <w:r w:rsidRPr="00670221">
        <w:rPr>
          <w:lang w:val="en-US"/>
        </w:rPr>
        <w:t>. The normalized cost breakdown per technolog</w:t>
      </w:r>
      <w:r w:rsidR="00A12808" w:rsidRPr="00670221">
        <w:rPr>
          <w:lang w:val="en-US"/>
        </w:rPr>
        <w:t>ical</w:t>
      </w:r>
      <w:r w:rsidRPr="00670221">
        <w:rPr>
          <w:lang w:val="en-US"/>
        </w:rPr>
        <w:t xml:space="preserve"> pathway highlights the distribution of individual cost components and offers insights into how these components evolve over time, helping to identify the key parameters that most significantly impact the levelized cost of </w:t>
      </w:r>
      <w:r w:rsidR="00CD709B" w:rsidRPr="00670221">
        <w:rPr>
          <w:lang w:val="en-US"/>
        </w:rPr>
        <w:t>that specific technology</w:t>
      </w:r>
      <w:r w:rsidRPr="00670221">
        <w:rPr>
          <w:lang w:val="en-US"/>
        </w:rPr>
        <w:t>. Following this,</w:t>
      </w:r>
      <w:r w:rsidR="00BA6FEF" w:rsidRPr="00670221">
        <w:rPr>
          <w:lang w:val="en-US"/>
        </w:rPr>
        <w:t xml:space="preserve"> </w:t>
      </w:r>
      <w:r w:rsidRPr="00670221">
        <w:rPr>
          <w:lang w:val="en-US"/>
        </w:rPr>
        <w:t xml:space="preserve">a sensitivity analysis </w:t>
      </w:r>
      <w:r w:rsidR="00FD41AB" w:rsidRPr="00670221">
        <w:rPr>
          <w:lang w:val="en-US"/>
        </w:rPr>
        <w:t xml:space="preserve">was </w:t>
      </w:r>
      <w:r w:rsidRPr="00670221">
        <w:rPr>
          <w:lang w:val="en-US"/>
        </w:rPr>
        <w:t xml:space="preserve">conducted to examine the impact of economic model parameters, ensuring a comprehensive understanding of their effects on the techno-economic performance of </w:t>
      </w:r>
      <w:proofErr w:type="spellStart"/>
      <w:r w:rsidRPr="00670221">
        <w:rPr>
          <w:lang w:val="en-US"/>
        </w:rPr>
        <w:t>eSAF</w:t>
      </w:r>
      <w:proofErr w:type="spellEnd"/>
      <w:r w:rsidRPr="00670221">
        <w:rPr>
          <w:lang w:val="en-US"/>
        </w:rPr>
        <w:t>.</w:t>
      </w:r>
    </w:p>
    <w:p w14:paraId="67F29D1E" w14:textId="11661AAE" w:rsidR="009176AA" w:rsidRPr="00670221" w:rsidRDefault="009A7C7B" w:rsidP="0089624C">
      <w:pPr>
        <w:keepNext/>
        <w:jc w:val="center"/>
        <w:rPr>
          <w:lang w:val="en-US"/>
        </w:rPr>
      </w:pPr>
      <w:r w:rsidRPr="00670221">
        <w:rPr>
          <w:noProof/>
          <w:lang w:val="en-US"/>
        </w:rPr>
        <w:lastRenderedPageBreak/>
        <w:drawing>
          <wp:inline distT="0" distB="0" distL="0" distR="0" wp14:anchorId="6A993CF0" wp14:editId="151A3C10">
            <wp:extent cx="5448300" cy="5473700"/>
            <wp:effectExtent l="0" t="0" r="0" b="0"/>
            <wp:docPr id="1061377694" name="Picture 1" descr="A graph of cost break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77694" name="Picture 1" descr="A graph of cost breakdown&#10;&#10;Description automatically generated"/>
                    <pic:cNvPicPr/>
                  </pic:nvPicPr>
                  <pic:blipFill>
                    <a:blip r:embed="rId44"/>
                    <a:stretch>
                      <a:fillRect/>
                    </a:stretch>
                  </pic:blipFill>
                  <pic:spPr>
                    <a:xfrm>
                      <a:off x="0" y="0"/>
                      <a:ext cx="5448300" cy="5473700"/>
                    </a:xfrm>
                    <a:prstGeom prst="rect">
                      <a:avLst/>
                    </a:prstGeom>
                  </pic:spPr>
                </pic:pic>
              </a:graphicData>
            </a:graphic>
          </wp:inline>
        </w:drawing>
      </w:r>
    </w:p>
    <w:p w14:paraId="07AA95F6" w14:textId="66EB6202" w:rsidR="009176AA" w:rsidRPr="00670221" w:rsidRDefault="009176AA" w:rsidP="0089624C">
      <w:pPr>
        <w:pStyle w:val="Caption"/>
        <w:rPr>
          <w:lang w:val="en-US"/>
        </w:rPr>
      </w:pPr>
      <w:bookmarkStart w:id="104" w:name="_Toc184403562"/>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8</w:t>
      </w:r>
      <w:r w:rsidR="002A3EA2" w:rsidRPr="00670221">
        <w:rPr>
          <w:lang w:val="en-US"/>
        </w:rPr>
        <w:fldChar w:fldCharType="end"/>
      </w:r>
      <w:r w:rsidRPr="00670221">
        <w:rPr>
          <w:lang w:val="en-US"/>
        </w:rPr>
        <w:t xml:space="preserve">: Levelized cost breakdown for 2024. Costs include CAPEX (dark) and OPEX (light) for Electrolysis (blue), </w:t>
      </w:r>
      <w:r w:rsidR="00421441" w:rsidRPr="00670221">
        <w:rPr>
          <w:lang w:val="en-US"/>
        </w:rPr>
        <w:t>CO₂</w:t>
      </w:r>
      <w:r w:rsidRPr="00670221">
        <w:rPr>
          <w:lang w:val="en-US"/>
        </w:rPr>
        <w:t xml:space="preserve"> sourcing (orange) and fuel synthesis (green).</w:t>
      </w:r>
      <w:bookmarkEnd w:id="104"/>
    </w:p>
    <w:p w14:paraId="101EF16C" w14:textId="7258E566" w:rsidR="00217517" w:rsidRPr="00670221" w:rsidRDefault="00217517" w:rsidP="00217517">
      <w:pPr>
        <w:rPr>
          <w:lang w:val="en-US"/>
        </w:rPr>
      </w:pPr>
      <w:r w:rsidRPr="00670221">
        <w:rPr>
          <w:lang w:val="en-US"/>
        </w:rPr>
        <w:t>In all technological pathways</w:t>
      </w:r>
      <w:r w:rsidR="00CE4EC4" w:rsidRPr="00670221">
        <w:rPr>
          <w:lang w:val="en-US"/>
        </w:rPr>
        <w:t xml:space="preserve"> described above</w:t>
      </w:r>
      <w:r w:rsidRPr="00670221">
        <w:rPr>
          <w:lang w:val="en-US"/>
        </w:rPr>
        <w:t xml:space="preserve">, costs are primarily driven by the </w:t>
      </w:r>
      <w:proofErr w:type="spellStart"/>
      <w:r w:rsidRPr="00670221">
        <w:rPr>
          <w:lang w:val="en-US"/>
        </w:rPr>
        <w:t>electrolyzer</w:t>
      </w:r>
      <w:proofErr w:type="spellEnd"/>
      <w:r w:rsidRPr="00670221">
        <w:rPr>
          <w:lang w:val="en-US"/>
        </w:rPr>
        <w:t>, represented by the light and dark blue sections</w:t>
      </w:r>
      <w:r w:rsidR="00833E16" w:rsidRPr="00670221">
        <w:rPr>
          <w:lang w:val="en-US"/>
        </w:rPr>
        <w:t xml:space="preserve">, ranging between </w:t>
      </w:r>
      <w:r w:rsidR="00F11DA1" w:rsidRPr="00670221">
        <w:rPr>
          <w:lang w:val="en-US"/>
        </w:rPr>
        <w:t>59,7</w:t>
      </w:r>
      <w:r w:rsidR="00F22F05" w:rsidRPr="00670221">
        <w:rPr>
          <w:lang w:val="en-US"/>
        </w:rPr>
        <w:t>%</w:t>
      </w:r>
      <w:r w:rsidR="00F11DA1" w:rsidRPr="00670221">
        <w:rPr>
          <w:lang w:val="en-US"/>
        </w:rPr>
        <w:t xml:space="preserve"> </w:t>
      </w:r>
      <w:r w:rsidR="00F22F05" w:rsidRPr="00670221">
        <w:rPr>
          <w:lang w:val="en-US"/>
        </w:rPr>
        <w:t xml:space="preserve">(PEM +RWGS + FT + DAC) and 90,11% </w:t>
      </w:r>
      <w:r w:rsidR="00174301" w:rsidRPr="00670221">
        <w:rPr>
          <w:lang w:val="en-US"/>
        </w:rPr>
        <w:t xml:space="preserve">(Sunfire SOE + FT + BIO). </w:t>
      </w:r>
      <w:r w:rsidRPr="00670221">
        <w:rPr>
          <w:lang w:val="en-US"/>
        </w:rPr>
        <w:t xml:space="preserve">Specifically, the operating expenditures of the </w:t>
      </w:r>
      <w:proofErr w:type="spellStart"/>
      <w:r w:rsidRPr="00670221">
        <w:rPr>
          <w:lang w:val="en-US"/>
        </w:rPr>
        <w:t>electrolyzer</w:t>
      </w:r>
      <w:proofErr w:type="spellEnd"/>
      <w:r w:rsidRPr="00670221">
        <w:rPr>
          <w:lang w:val="en-US"/>
        </w:rPr>
        <w:t xml:space="preserve"> constitute the largest cost component. The CO₂ costs in the first two pathways</w:t>
      </w:r>
      <w:r w:rsidR="00CC3A60" w:rsidRPr="00670221">
        <w:rPr>
          <w:lang w:val="en-US"/>
        </w:rPr>
        <w:t xml:space="preserve"> (col</w:t>
      </w:r>
      <w:r w:rsidR="00B23A4C" w:rsidRPr="00670221">
        <w:rPr>
          <w:lang w:val="en-US"/>
        </w:rPr>
        <w:t>u</w:t>
      </w:r>
      <w:r w:rsidR="00CC3A60" w:rsidRPr="00670221">
        <w:rPr>
          <w:lang w:val="en-US"/>
        </w:rPr>
        <w:t xml:space="preserve">mn 1 and 2) </w:t>
      </w:r>
      <w:r w:rsidRPr="00670221">
        <w:rPr>
          <w:lang w:val="en-US"/>
        </w:rPr>
        <w:t xml:space="preserve">are higher than those in the last two, as these pathways incorporate direct air capture. DAC-related CO₂ costs are predominantly OPEX, whereas biogenic CO₂ is classified entirely as OPEX. While there are capital expenditures associated with CO₂ capture equipment, these were not distinguished </w:t>
      </w:r>
      <w:r w:rsidR="00D97F55" w:rsidRPr="00670221">
        <w:rPr>
          <w:lang w:val="en-US"/>
        </w:rPr>
        <w:t>from operating expenditures in</w:t>
      </w:r>
      <w:r w:rsidRPr="00670221">
        <w:rPr>
          <w:lang w:val="en-US"/>
        </w:rPr>
        <w:t xml:space="preserve"> the </w:t>
      </w:r>
      <w:r w:rsidR="000F69BD" w:rsidRPr="00670221">
        <w:rPr>
          <w:lang w:val="en-US"/>
        </w:rPr>
        <w:t xml:space="preserve">capture </w:t>
      </w:r>
      <w:r w:rsidRPr="00670221">
        <w:rPr>
          <w:lang w:val="en-US"/>
        </w:rPr>
        <w:t xml:space="preserve">data. Since CO₂ capture forms the largest portion of </w:t>
      </w:r>
      <w:r w:rsidR="00E221E5" w:rsidRPr="00670221">
        <w:rPr>
          <w:lang w:val="en-US"/>
        </w:rPr>
        <w:t xml:space="preserve">biogenic </w:t>
      </w:r>
      <w:r w:rsidRPr="00670221">
        <w:rPr>
          <w:lang w:val="en-US"/>
        </w:rPr>
        <w:t xml:space="preserve">CO₂-related costs, and additional costs for </w:t>
      </w:r>
      <w:r w:rsidR="000F69BD" w:rsidRPr="00670221">
        <w:rPr>
          <w:lang w:val="en-US"/>
        </w:rPr>
        <w:t xml:space="preserve">purification, </w:t>
      </w:r>
      <w:r w:rsidRPr="00670221">
        <w:rPr>
          <w:lang w:val="en-US"/>
        </w:rPr>
        <w:t>liquefaction, and transport are relatively small, these are not individually detailed.</w:t>
      </w:r>
      <w:r w:rsidR="00A96C5E" w:rsidRPr="00670221">
        <w:rPr>
          <w:lang w:val="en-US"/>
        </w:rPr>
        <w:t xml:space="preserve"> </w:t>
      </w:r>
    </w:p>
    <w:p w14:paraId="758EE745" w14:textId="77777777" w:rsidR="005C2FF1" w:rsidRPr="00670221" w:rsidRDefault="009630E8" w:rsidP="00217517">
      <w:pPr>
        <w:rPr>
          <w:lang w:val="en-US"/>
        </w:rPr>
      </w:pPr>
      <w:r w:rsidRPr="00670221">
        <w:rPr>
          <w:lang w:val="en-US"/>
        </w:rPr>
        <w:t>When comparing PEM technology (columns 1 and 3) with SOE technology (columns 2 and 4), PEM emerges as the more cost-effective option. Although SOE has slightly lower OPEX costs</w:t>
      </w:r>
      <w:r w:rsidR="00CC3A60" w:rsidRPr="00670221">
        <w:rPr>
          <w:lang w:val="en-US"/>
        </w:rPr>
        <w:t xml:space="preserve"> </w:t>
      </w:r>
      <w:r w:rsidR="00B23A4C" w:rsidRPr="00670221">
        <w:rPr>
          <w:lang w:val="en-US"/>
        </w:rPr>
        <w:t>(€1,68 vs €1,71)</w:t>
      </w:r>
      <w:r w:rsidRPr="00670221">
        <w:rPr>
          <w:lang w:val="en-US"/>
        </w:rPr>
        <w:t xml:space="preserve">, its CAPEX is more than four times higher. Additionally, the PEM pathways </w:t>
      </w:r>
      <w:r w:rsidRPr="00670221">
        <w:rPr>
          <w:lang w:val="en-US"/>
        </w:rPr>
        <w:lastRenderedPageBreak/>
        <w:t>require less CO₂, as evidenced by the lower CO₂ costs in column 1 compared to column 2, and similarly in column 3 compared to column 4.</w:t>
      </w:r>
    </w:p>
    <w:p w14:paraId="65481137" w14:textId="1FF5E5BA" w:rsidR="00217517" w:rsidRPr="00670221" w:rsidRDefault="007F451A" w:rsidP="00217517">
      <w:pPr>
        <w:rPr>
          <w:lang w:val="en-US"/>
        </w:rPr>
      </w:pPr>
      <w:r w:rsidRPr="00670221">
        <w:rPr>
          <w:lang w:val="en-US"/>
        </w:rPr>
        <w:t xml:space="preserve">Fuel synthesis costs contribute the least to the levelized cost of </w:t>
      </w:r>
      <w:proofErr w:type="spellStart"/>
      <w:r w:rsidRPr="00670221">
        <w:rPr>
          <w:lang w:val="en-US"/>
        </w:rPr>
        <w:t>eSAF</w:t>
      </w:r>
      <w:proofErr w:type="spellEnd"/>
      <w:r w:rsidRPr="00670221">
        <w:rPr>
          <w:lang w:val="en-US"/>
        </w:rPr>
        <w:t xml:space="preserve">. The operational expenditures for fuel synthesis are too small to be labeled in Figure 5.5 but account for €0.02 or €0.05 per liter of </w:t>
      </w:r>
      <w:proofErr w:type="spellStart"/>
      <w:r w:rsidRPr="00670221">
        <w:rPr>
          <w:lang w:val="en-US"/>
        </w:rPr>
        <w:t>eSAF</w:t>
      </w:r>
      <w:proofErr w:type="spellEnd"/>
      <w:r w:rsidRPr="00670221">
        <w:rPr>
          <w:lang w:val="en-US"/>
        </w:rPr>
        <w:t xml:space="preserve">, with the higher costs associated with the use of a reverse water-gas shift reactor, corresponding with higher fuel synthesis CAPEX. While fuel synthesis is not OPEX-dominated, both electrolysis and CO₂ capture are OPEX-heavy across all pathways, making the levelized cost of </w:t>
      </w:r>
      <w:proofErr w:type="spellStart"/>
      <w:r w:rsidRPr="00670221">
        <w:rPr>
          <w:lang w:val="en-US"/>
        </w:rPr>
        <w:t>eSAF</w:t>
      </w:r>
      <w:proofErr w:type="spellEnd"/>
      <w:r w:rsidRPr="00670221">
        <w:rPr>
          <w:lang w:val="en-US"/>
        </w:rPr>
        <w:t xml:space="preserve"> predominantly OPEX-driven</w:t>
      </w:r>
      <w:r w:rsidR="00334021" w:rsidRPr="00670221">
        <w:rPr>
          <w:lang w:val="en-US"/>
        </w:rPr>
        <w:t>.</w:t>
      </w:r>
      <w:r w:rsidR="002640E5" w:rsidRPr="00670221">
        <w:rPr>
          <w:lang w:val="en-US"/>
        </w:rPr>
        <w:t xml:space="preserve"> </w:t>
      </w:r>
    </w:p>
    <w:p w14:paraId="7A612C71" w14:textId="7116AEE8" w:rsidR="002E61E5" w:rsidRPr="00670221" w:rsidRDefault="009A7C7B" w:rsidP="0089624C">
      <w:pPr>
        <w:keepNext/>
        <w:jc w:val="center"/>
        <w:rPr>
          <w:lang w:val="en-US"/>
        </w:rPr>
      </w:pPr>
      <w:r w:rsidRPr="00670221">
        <w:rPr>
          <w:noProof/>
          <w:lang w:val="en-US"/>
        </w:rPr>
        <w:drawing>
          <wp:inline distT="0" distB="0" distL="0" distR="0" wp14:anchorId="300EC904" wp14:editId="0E4100DB">
            <wp:extent cx="5448300" cy="5473700"/>
            <wp:effectExtent l="0" t="0" r="0" b="0"/>
            <wp:docPr id="162513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35175" name=""/>
                    <pic:cNvPicPr/>
                  </pic:nvPicPr>
                  <pic:blipFill>
                    <a:blip r:embed="rId45"/>
                    <a:stretch>
                      <a:fillRect/>
                    </a:stretch>
                  </pic:blipFill>
                  <pic:spPr>
                    <a:xfrm>
                      <a:off x="0" y="0"/>
                      <a:ext cx="5448300" cy="5473700"/>
                    </a:xfrm>
                    <a:prstGeom prst="rect">
                      <a:avLst/>
                    </a:prstGeom>
                  </pic:spPr>
                </pic:pic>
              </a:graphicData>
            </a:graphic>
          </wp:inline>
        </w:drawing>
      </w:r>
    </w:p>
    <w:p w14:paraId="001B77E6" w14:textId="5247F69E" w:rsidR="00711168" w:rsidRPr="00670221" w:rsidRDefault="002E61E5" w:rsidP="0089624C">
      <w:pPr>
        <w:pStyle w:val="Caption"/>
        <w:rPr>
          <w:lang w:val="en-US"/>
        </w:rPr>
      </w:pPr>
      <w:bookmarkStart w:id="105" w:name="_Toc184403563"/>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9</w:t>
      </w:r>
      <w:r w:rsidR="002A3EA2" w:rsidRPr="00670221">
        <w:rPr>
          <w:lang w:val="en-US"/>
        </w:rPr>
        <w:fldChar w:fldCharType="end"/>
      </w:r>
      <w:r w:rsidRPr="00670221">
        <w:rPr>
          <w:lang w:val="en-US"/>
        </w:rPr>
        <w:t xml:space="preserve">: Levelized cost breakdown for 2035. Costs include CAPEX (dark) and OPEX (light) for Electrolysis (blue), </w:t>
      </w:r>
      <w:r w:rsidR="00421441" w:rsidRPr="00670221">
        <w:rPr>
          <w:lang w:val="en-US"/>
        </w:rPr>
        <w:t>CO₂</w:t>
      </w:r>
      <w:r w:rsidRPr="00670221">
        <w:rPr>
          <w:lang w:val="en-US"/>
        </w:rPr>
        <w:t xml:space="preserve"> sourcing (orange) and fuel synthesis (green).</w:t>
      </w:r>
      <w:bookmarkEnd w:id="105"/>
    </w:p>
    <w:p w14:paraId="6F6C1CD9" w14:textId="77777777" w:rsidR="00510E71" w:rsidRPr="00670221" w:rsidRDefault="00510E71" w:rsidP="002A6872">
      <w:pPr>
        <w:rPr>
          <w:lang w:val="en-US"/>
        </w:rPr>
      </w:pPr>
      <w:r w:rsidRPr="00670221">
        <w:rPr>
          <w:lang w:val="en-US"/>
        </w:rPr>
        <w:t xml:space="preserve">Looking at Figure 5.6 and comparing it to 2024, PEM + RWGS + FT + DAC and Sunfire SOE + FT + DAC experience the largest cost reductions, primarily driven by decreasing CAPEX and OPEX for DAC CO₂. Proportionally, the CAPEX reduction is greater than the OPEX reduction, leading to a higher relative share of OPEX compared to CAPEX for DAC, as compared to 2024 levels. Since DAC sees the most significant decrease in costs, an even larger proportion of the total costs are now attributed to the </w:t>
      </w:r>
      <w:proofErr w:type="spellStart"/>
      <w:r w:rsidRPr="00670221">
        <w:rPr>
          <w:lang w:val="en-US"/>
        </w:rPr>
        <w:t>electrolyzer</w:t>
      </w:r>
      <w:proofErr w:type="spellEnd"/>
      <w:r w:rsidRPr="00670221">
        <w:rPr>
          <w:lang w:val="en-US"/>
        </w:rPr>
        <w:t xml:space="preserve">. For pathways incorporating DAC in 2035, the </w:t>
      </w:r>
      <w:proofErr w:type="spellStart"/>
      <w:r w:rsidRPr="00670221">
        <w:rPr>
          <w:lang w:val="en-US"/>
        </w:rPr>
        <w:lastRenderedPageBreak/>
        <w:t>electrolyzer's</w:t>
      </w:r>
      <w:proofErr w:type="spellEnd"/>
      <w:r w:rsidRPr="00670221">
        <w:rPr>
          <w:lang w:val="en-US"/>
        </w:rPr>
        <w:t xml:space="preserve"> cost share increases substantially, rising from 59.7% to 75.9% for PEM + RWGS + FT + DAC, and from 60.7% to 77.1% for Sunfire SOE + FT + DAC.</w:t>
      </w:r>
    </w:p>
    <w:p w14:paraId="4F507176" w14:textId="77777777" w:rsidR="00B524FB" w:rsidRPr="00670221" w:rsidRDefault="00B524FB" w:rsidP="00495B4D">
      <w:pPr>
        <w:rPr>
          <w:lang w:val="en-US"/>
        </w:rPr>
      </w:pPr>
      <w:r w:rsidRPr="00670221">
        <w:rPr>
          <w:lang w:val="en-US"/>
        </w:rPr>
        <w:t>When examining Figure 4.7, it can be observed that PEM + RWGS + FT with DAC was initially more expensive than co-electrolysis + FT with biogenic CO₂. However, by 2033, it becomes more cost-effective. Figure 4.9 illustrates that this shift is driven by technological advancements in DAC and PEM, compared to a constant biogenic CO₂ price and slower cost reductions for SOE.</w:t>
      </w:r>
    </w:p>
    <w:p w14:paraId="7794DE36" w14:textId="3988C73E" w:rsidR="00724223" w:rsidRPr="00670221" w:rsidRDefault="00B14BB8" w:rsidP="00495B4D">
      <w:pPr>
        <w:rPr>
          <w:lang w:val="en-US"/>
        </w:rPr>
      </w:pPr>
      <w:r w:rsidRPr="00670221">
        <w:rPr>
          <w:lang w:val="en-US"/>
        </w:rPr>
        <w:t xml:space="preserve">Consistent across all pathways, the </w:t>
      </w:r>
      <w:proofErr w:type="spellStart"/>
      <w:r w:rsidRPr="00670221">
        <w:rPr>
          <w:lang w:val="en-US"/>
        </w:rPr>
        <w:t>electrolyzer</w:t>
      </w:r>
      <w:proofErr w:type="spellEnd"/>
      <w:r w:rsidRPr="00670221">
        <w:rPr>
          <w:lang w:val="en-US"/>
        </w:rPr>
        <w:t xml:space="preserve"> cost breakdown shows a decreasing share of CAPEX while the share of OPEX rises. As noted above, DAC becomes increasingly OPEX-dependent due to the larger reduction in CAPEX, further shifting the overall cost structure toward operational expenditures, reinforcing the growing dominance of OPEX. Conversely, for pathways utilizing biogenic CO₂ (third and fourth columns), the total share of costs </w:t>
      </w:r>
      <w:r w:rsidR="00EF38F8" w:rsidRPr="00670221">
        <w:rPr>
          <w:lang w:val="en-US"/>
        </w:rPr>
        <w:t xml:space="preserve">(CAPEX + OPEX) </w:t>
      </w:r>
      <w:r w:rsidRPr="00670221">
        <w:rPr>
          <w:lang w:val="en-US"/>
        </w:rPr>
        <w:t>attributed to electrolysis decreases compared to 2024, reflecting the different cost dynamics associated with biogenic CO₂ capture.</w:t>
      </w:r>
    </w:p>
    <w:p w14:paraId="05D0B558" w14:textId="1175879A" w:rsidR="008A48BA" w:rsidRPr="00670221" w:rsidRDefault="008A48BA" w:rsidP="00495B4D">
      <w:pPr>
        <w:rPr>
          <w:lang w:val="en-US"/>
        </w:rPr>
      </w:pPr>
      <w:r w:rsidRPr="00670221">
        <w:rPr>
          <w:lang w:val="en-US"/>
        </w:rPr>
        <w:t>SOE OPEX costs are now also higher than PEM OPEX costs. This shift further amplifies the cost differences between the two technologies, with SOE facing both higher OPEX and significantly greater CAPEX compared to PEM. This contributes to PEM remaining the more cost-effective option overall.</w:t>
      </w:r>
    </w:p>
    <w:p w14:paraId="3E4A6DB5" w14:textId="1A412078" w:rsidR="00564D41" w:rsidRPr="00670221" w:rsidRDefault="009A7C7B" w:rsidP="0089624C">
      <w:pPr>
        <w:keepNext/>
        <w:jc w:val="center"/>
        <w:rPr>
          <w:lang w:val="en-US"/>
        </w:rPr>
      </w:pPr>
      <w:r w:rsidRPr="00670221">
        <w:rPr>
          <w:noProof/>
          <w:lang w:val="en-US"/>
        </w:rPr>
        <w:lastRenderedPageBreak/>
        <w:drawing>
          <wp:inline distT="0" distB="0" distL="0" distR="0" wp14:anchorId="2DD10599" wp14:editId="4F874BB2">
            <wp:extent cx="5448300" cy="5473700"/>
            <wp:effectExtent l="0" t="0" r="0" b="0"/>
            <wp:docPr id="74980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08543" name=""/>
                    <pic:cNvPicPr/>
                  </pic:nvPicPr>
                  <pic:blipFill>
                    <a:blip r:embed="rId46"/>
                    <a:stretch>
                      <a:fillRect/>
                    </a:stretch>
                  </pic:blipFill>
                  <pic:spPr>
                    <a:xfrm>
                      <a:off x="0" y="0"/>
                      <a:ext cx="5448300" cy="5473700"/>
                    </a:xfrm>
                    <a:prstGeom prst="rect">
                      <a:avLst/>
                    </a:prstGeom>
                  </pic:spPr>
                </pic:pic>
              </a:graphicData>
            </a:graphic>
          </wp:inline>
        </w:drawing>
      </w:r>
    </w:p>
    <w:p w14:paraId="20A704D9" w14:textId="38E08638" w:rsidR="00564D41" w:rsidRPr="00670221" w:rsidRDefault="00564D41" w:rsidP="0089624C">
      <w:pPr>
        <w:pStyle w:val="Caption"/>
        <w:rPr>
          <w:lang w:val="en-US"/>
        </w:rPr>
      </w:pPr>
      <w:bookmarkStart w:id="106" w:name="_Toc184403564"/>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10</w:t>
      </w:r>
      <w:r w:rsidR="002A3EA2" w:rsidRPr="00670221">
        <w:rPr>
          <w:lang w:val="en-US"/>
        </w:rPr>
        <w:fldChar w:fldCharType="end"/>
      </w:r>
      <w:r w:rsidRPr="00670221">
        <w:rPr>
          <w:lang w:val="en-US"/>
        </w:rPr>
        <w:t>: Levelized cost breakdown for 205</w:t>
      </w:r>
      <w:r w:rsidR="002C2AA6" w:rsidRPr="00670221">
        <w:rPr>
          <w:lang w:val="en-US"/>
        </w:rPr>
        <w:t>0</w:t>
      </w:r>
      <w:r w:rsidRPr="00670221">
        <w:rPr>
          <w:lang w:val="en-US"/>
        </w:rPr>
        <w:t xml:space="preserve">. Costs include CAPEX (dark) and OPEX (light) for Electrolysis (blue), </w:t>
      </w:r>
      <w:r w:rsidR="00421441" w:rsidRPr="00670221">
        <w:rPr>
          <w:lang w:val="en-US"/>
        </w:rPr>
        <w:t>CO₂</w:t>
      </w:r>
      <w:r w:rsidR="00421441">
        <w:rPr>
          <w:lang w:val="en-US"/>
        </w:rPr>
        <w:t xml:space="preserve"> </w:t>
      </w:r>
      <w:r w:rsidRPr="00670221">
        <w:rPr>
          <w:lang w:val="en-US"/>
        </w:rPr>
        <w:t>sourcing (orange) and fuel synthesis (green).</w:t>
      </w:r>
      <w:bookmarkEnd w:id="106"/>
    </w:p>
    <w:p w14:paraId="79E335F2" w14:textId="34AE1344" w:rsidR="00D3073E" w:rsidRPr="00670221" w:rsidRDefault="00A86210" w:rsidP="000D3BA5">
      <w:pPr>
        <w:rPr>
          <w:lang w:val="en-US"/>
        </w:rPr>
      </w:pPr>
      <w:r w:rsidRPr="00670221">
        <w:rPr>
          <w:lang w:val="en-US"/>
        </w:rPr>
        <w:t xml:space="preserve">Figure 5.7 presents the cost breakdown for the year 2050 and illustrates why the levelized costs for </w:t>
      </w:r>
      <w:proofErr w:type="spellStart"/>
      <w:r w:rsidRPr="00670221">
        <w:rPr>
          <w:lang w:val="en-US"/>
        </w:rPr>
        <w:t>eSAF</w:t>
      </w:r>
      <w:proofErr w:type="spellEnd"/>
      <w:r w:rsidRPr="00670221">
        <w:rPr>
          <w:lang w:val="en-US"/>
        </w:rPr>
        <w:t xml:space="preserve"> are grouped around specific price levels based on the electrolysis technology used, as noted in Section </w:t>
      </w:r>
      <w:r w:rsidR="004C2B32" w:rsidRPr="00670221">
        <w:rPr>
          <w:lang w:val="en-US"/>
        </w:rPr>
        <w:t>4</w:t>
      </w:r>
      <w:r w:rsidRPr="00670221">
        <w:rPr>
          <w:lang w:val="en-US"/>
        </w:rPr>
        <w:t xml:space="preserve">.2.2. This occurs due to two factors: first, DAC CO₂ costs approach biogenic CO₂ costs, narrowing the cost differences between pathways that use different CO₂ sources but the same electrolysis technology. Second, pathways utilizing co-electrolysis (columns 2 and 4) require more CO₂, resulting in higher CO₂ costs, but this is nearly offset by the additional fuel synthesis costs associated with the RWGS reactor needed for the technology pathways in columns 1 and 3. As a result, electrolysis technology becomes the defining cost component. </w:t>
      </w:r>
      <w:r w:rsidR="00B84032" w:rsidRPr="00670221">
        <w:rPr>
          <w:lang w:val="en-US"/>
        </w:rPr>
        <w:t>Additionally, the shift toward a higher proportion of OPEX in the overall cost structure continues</w:t>
      </w:r>
      <w:r w:rsidR="00F75DC5" w:rsidRPr="00670221">
        <w:rPr>
          <w:lang w:val="en-US"/>
        </w:rPr>
        <w:t>.</w:t>
      </w:r>
    </w:p>
    <w:p w14:paraId="03A7A689" w14:textId="77777777" w:rsidR="00C12ED3" w:rsidRPr="00670221" w:rsidRDefault="00C12ED3" w:rsidP="000D3BA5">
      <w:pPr>
        <w:rPr>
          <w:lang w:val="en-US"/>
        </w:rPr>
      </w:pPr>
    </w:p>
    <w:p w14:paraId="104F6B44" w14:textId="318A2023" w:rsidR="00710568" w:rsidRPr="00670221" w:rsidRDefault="00723F4B" w:rsidP="00710568">
      <w:pPr>
        <w:pStyle w:val="Heading2"/>
      </w:pPr>
      <w:bookmarkStart w:id="107" w:name="_Toc184403459"/>
      <w:r w:rsidRPr="00670221">
        <w:lastRenderedPageBreak/>
        <w:t xml:space="preserve">Sensitivity </w:t>
      </w:r>
      <w:r w:rsidR="006D33B8" w:rsidRPr="00670221">
        <w:t>A</w:t>
      </w:r>
      <w:r w:rsidRPr="00670221">
        <w:t>nalysi</w:t>
      </w:r>
      <w:r w:rsidR="006D33B8" w:rsidRPr="00670221">
        <w:t>s</w:t>
      </w:r>
      <w:bookmarkEnd w:id="107"/>
    </w:p>
    <w:p w14:paraId="4CAEA935" w14:textId="193465CC" w:rsidR="00710568" w:rsidRPr="00670221" w:rsidRDefault="00710568" w:rsidP="00710568">
      <w:pPr>
        <w:pStyle w:val="Heading3"/>
      </w:pPr>
      <w:bookmarkStart w:id="108" w:name="_Toc184403460"/>
      <w:r w:rsidRPr="00670221">
        <w:t>Levelized cost of CO</w:t>
      </w:r>
      <w:r w:rsidR="005069CD" w:rsidRPr="005069CD">
        <w:rPr>
          <w:vertAlign w:val="subscript"/>
        </w:rPr>
        <w:t>2</w:t>
      </w:r>
      <w:bookmarkEnd w:id="108"/>
    </w:p>
    <w:p w14:paraId="22CEEB67" w14:textId="3E39290D" w:rsidR="007B7505" w:rsidRPr="00670221" w:rsidRDefault="002151AE" w:rsidP="006A25D1">
      <w:pPr>
        <w:rPr>
          <w:lang w:val="en-US"/>
        </w:rPr>
      </w:pPr>
      <w:r w:rsidRPr="00670221">
        <w:rPr>
          <w:lang w:val="en-US"/>
        </w:rPr>
        <w:t xml:space="preserve">In Appendix </w:t>
      </w:r>
      <w:r w:rsidR="009B6CB4" w:rsidRPr="00670221">
        <w:rPr>
          <w:lang w:val="en-US"/>
        </w:rPr>
        <w:t>I</w:t>
      </w:r>
      <w:r w:rsidRPr="00670221">
        <w:rPr>
          <w:lang w:val="en-US"/>
        </w:rPr>
        <w:t>, various model scenarios are examined to assess the impact of different factors on CO₂ pricing. The first scenario explores the case where insufficient waste heat is available, requiring the purchase of additional waste heat at €10/MWh. The second and third scenarios analyze CO₂ costs under different electricity prices, specifically €</w:t>
      </w:r>
      <w:r w:rsidR="004542F5" w:rsidRPr="00670221">
        <w:rPr>
          <w:lang w:val="en-US"/>
        </w:rPr>
        <w:t>8</w:t>
      </w:r>
      <w:r w:rsidRPr="00670221">
        <w:rPr>
          <w:lang w:val="en-US"/>
        </w:rPr>
        <w:t>0/MWh and €</w:t>
      </w:r>
      <w:r w:rsidR="004542F5" w:rsidRPr="00670221">
        <w:rPr>
          <w:lang w:val="en-US"/>
        </w:rPr>
        <w:t>4</w:t>
      </w:r>
      <w:r w:rsidRPr="00670221">
        <w:rPr>
          <w:lang w:val="en-US"/>
        </w:rPr>
        <w:t>0/MWh, both within the range reported in the literature. Additionally, upper and lower bounds for the EU ETS price are tested. Lastly, the effect on CO₂ prices when DAC operates for 4,000 hours per year is modeled.</w:t>
      </w:r>
      <w:r w:rsidR="00117425" w:rsidRPr="00670221">
        <w:rPr>
          <w:lang w:val="en-US"/>
        </w:rPr>
        <w:t xml:space="preserve"> The scenarios are summarized in the table below. </w:t>
      </w:r>
    </w:p>
    <w:tbl>
      <w:tblPr>
        <w:tblStyle w:val="TableGrid"/>
        <w:tblW w:w="0" w:type="auto"/>
        <w:tblLayout w:type="fixed"/>
        <w:tblLook w:val="04A0" w:firstRow="1" w:lastRow="0" w:firstColumn="1" w:lastColumn="0" w:noHBand="0" w:noVBand="1"/>
      </w:tblPr>
      <w:tblGrid>
        <w:gridCol w:w="1001"/>
        <w:gridCol w:w="1002"/>
        <w:gridCol w:w="1002"/>
        <w:gridCol w:w="1002"/>
        <w:gridCol w:w="1001"/>
        <w:gridCol w:w="1002"/>
        <w:gridCol w:w="1002"/>
        <w:gridCol w:w="1002"/>
        <w:gridCol w:w="1002"/>
      </w:tblGrid>
      <w:tr w:rsidR="004116BB" w:rsidRPr="00670221" w14:paraId="0DAD38D3" w14:textId="77777777" w:rsidTr="00D15956">
        <w:tc>
          <w:tcPr>
            <w:tcW w:w="1001" w:type="dxa"/>
          </w:tcPr>
          <w:p w14:paraId="415ED732" w14:textId="312B7DEC" w:rsidR="0014625F" w:rsidRPr="00670221" w:rsidRDefault="0014625F" w:rsidP="006A25D1">
            <w:pPr>
              <w:rPr>
                <w:b/>
                <w:bCs/>
                <w:sz w:val="18"/>
                <w:szCs w:val="18"/>
                <w:lang w:val="en-US"/>
              </w:rPr>
            </w:pPr>
            <w:r w:rsidRPr="00670221">
              <w:rPr>
                <w:b/>
                <w:bCs/>
                <w:sz w:val="18"/>
                <w:szCs w:val="18"/>
                <w:lang w:val="en-US"/>
              </w:rPr>
              <w:t>Parameter</w:t>
            </w:r>
          </w:p>
        </w:tc>
        <w:tc>
          <w:tcPr>
            <w:tcW w:w="1002" w:type="dxa"/>
          </w:tcPr>
          <w:p w14:paraId="6E727506" w14:textId="1408DF63" w:rsidR="0014625F" w:rsidRPr="00670221" w:rsidRDefault="0014625F" w:rsidP="006A25D1">
            <w:pPr>
              <w:rPr>
                <w:b/>
                <w:bCs/>
                <w:sz w:val="18"/>
                <w:szCs w:val="18"/>
                <w:lang w:val="en-US"/>
              </w:rPr>
            </w:pPr>
            <w:r w:rsidRPr="00670221">
              <w:rPr>
                <w:b/>
                <w:bCs/>
                <w:sz w:val="18"/>
                <w:szCs w:val="18"/>
                <w:lang w:val="en-US"/>
              </w:rPr>
              <w:t>Unit</w:t>
            </w:r>
          </w:p>
        </w:tc>
        <w:tc>
          <w:tcPr>
            <w:tcW w:w="1002" w:type="dxa"/>
          </w:tcPr>
          <w:p w14:paraId="38005B8B" w14:textId="7EFDB4BC" w:rsidR="0014625F" w:rsidRPr="00670221" w:rsidRDefault="0014625F" w:rsidP="006A25D1">
            <w:pPr>
              <w:rPr>
                <w:b/>
                <w:bCs/>
                <w:sz w:val="18"/>
                <w:szCs w:val="18"/>
                <w:lang w:val="en-US"/>
              </w:rPr>
            </w:pPr>
            <w:r w:rsidRPr="00670221">
              <w:rPr>
                <w:b/>
                <w:bCs/>
                <w:sz w:val="18"/>
                <w:szCs w:val="18"/>
                <w:lang w:val="en-US"/>
              </w:rPr>
              <w:t>Base Case</w:t>
            </w:r>
          </w:p>
        </w:tc>
        <w:tc>
          <w:tcPr>
            <w:tcW w:w="1002" w:type="dxa"/>
          </w:tcPr>
          <w:p w14:paraId="00C4C0C9" w14:textId="258CCD47" w:rsidR="0014625F" w:rsidRPr="00670221" w:rsidRDefault="00255935" w:rsidP="006A25D1">
            <w:pPr>
              <w:rPr>
                <w:b/>
                <w:bCs/>
                <w:sz w:val="18"/>
                <w:szCs w:val="18"/>
                <w:lang w:val="en-US"/>
              </w:rPr>
            </w:pPr>
            <w:r w:rsidRPr="00670221">
              <w:rPr>
                <w:b/>
                <w:bCs/>
                <w:sz w:val="18"/>
                <w:szCs w:val="18"/>
                <w:lang w:val="en-US"/>
              </w:rPr>
              <w:t>Thermal energy</w:t>
            </w:r>
          </w:p>
        </w:tc>
        <w:tc>
          <w:tcPr>
            <w:tcW w:w="1001" w:type="dxa"/>
          </w:tcPr>
          <w:p w14:paraId="172497F8" w14:textId="47517636" w:rsidR="0014625F" w:rsidRPr="00670221" w:rsidRDefault="004542F5" w:rsidP="006A25D1">
            <w:pPr>
              <w:rPr>
                <w:b/>
                <w:bCs/>
                <w:sz w:val="18"/>
                <w:szCs w:val="18"/>
                <w:lang w:val="en-US"/>
              </w:rPr>
            </w:pPr>
            <w:r w:rsidRPr="00670221">
              <w:rPr>
                <w:b/>
                <w:bCs/>
                <w:sz w:val="18"/>
                <w:szCs w:val="18"/>
                <w:lang w:val="en-US"/>
              </w:rPr>
              <w:t>Upper</w:t>
            </w:r>
            <w:r w:rsidR="00255935" w:rsidRPr="00670221">
              <w:rPr>
                <w:b/>
                <w:bCs/>
                <w:sz w:val="18"/>
                <w:szCs w:val="18"/>
                <w:lang w:val="en-US"/>
              </w:rPr>
              <w:t xml:space="preserve"> Bound electricity</w:t>
            </w:r>
          </w:p>
        </w:tc>
        <w:tc>
          <w:tcPr>
            <w:tcW w:w="1002" w:type="dxa"/>
          </w:tcPr>
          <w:p w14:paraId="71E6BA5E" w14:textId="66C2418B" w:rsidR="0014625F" w:rsidRPr="00670221" w:rsidRDefault="004542F5" w:rsidP="006A25D1">
            <w:pPr>
              <w:rPr>
                <w:b/>
                <w:bCs/>
                <w:sz w:val="18"/>
                <w:szCs w:val="18"/>
                <w:lang w:val="en-US"/>
              </w:rPr>
            </w:pPr>
            <w:r w:rsidRPr="00670221">
              <w:rPr>
                <w:b/>
                <w:bCs/>
                <w:sz w:val="18"/>
                <w:szCs w:val="18"/>
                <w:lang w:val="en-US"/>
              </w:rPr>
              <w:t>Lower</w:t>
            </w:r>
            <w:r w:rsidR="00255935" w:rsidRPr="00670221">
              <w:rPr>
                <w:b/>
                <w:bCs/>
                <w:sz w:val="18"/>
                <w:szCs w:val="18"/>
                <w:lang w:val="en-US"/>
              </w:rPr>
              <w:t xml:space="preserve"> Bound Electricity</w:t>
            </w:r>
          </w:p>
        </w:tc>
        <w:tc>
          <w:tcPr>
            <w:tcW w:w="1002" w:type="dxa"/>
          </w:tcPr>
          <w:p w14:paraId="3B88931C" w14:textId="68ADFA8C" w:rsidR="0014625F" w:rsidRPr="00670221" w:rsidRDefault="00F226A5" w:rsidP="006A25D1">
            <w:pPr>
              <w:rPr>
                <w:b/>
                <w:bCs/>
                <w:sz w:val="18"/>
                <w:szCs w:val="18"/>
                <w:lang w:val="en-US"/>
              </w:rPr>
            </w:pPr>
            <w:r w:rsidRPr="00670221">
              <w:rPr>
                <w:b/>
                <w:bCs/>
                <w:sz w:val="18"/>
                <w:szCs w:val="18"/>
                <w:lang w:val="en-US"/>
              </w:rPr>
              <w:t>U</w:t>
            </w:r>
            <w:r w:rsidR="004542F5" w:rsidRPr="00670221">
              <w:rPr>
                <w:b/>
                <w:bCs/>
                <w:sz w:val="18"/>
                <w:szCs w:val="18"/>
                <w:lang w:val="en-US"/>
              </w:rPr>
              <w:t>pper Bound EU ETS</w:t>
            </w:r>
          </w:p>
        </w:tc>
        <w:tc>
          <w:tcPr>
            <w:tcW w:w="1002" w:type="dxa"/>
          </w:tcPr>
          <w:p w14:paraId="01806B13" w14:textId="3C5DD613" w:rsidR="0014625F" w:rsidRPr="00670221" w:rsidRDefault="004542F5" w:rsidP="006A25D1">
            <w:pPr>
              <w:rPr>
                <w:b/>
                <w:bCs/>
                <w:sz w:val="18"/>
                <w:szCs w:val="18"/>
                <w:lang w:val="en-US"/>
              </w:rPr>
            </w:pPr>
            <w:r w:rsidRPr="00670221">
              <w:rPr>
                <w:b/>
                <w:bCs/>
                <w:sz w:val="18"/>
                <w:szCs w:val="18"/>
                <w:lang w:val="en-US"/>
              </w:rPr>
              <w:t>Lower Bound EU ETS</w:t>
            </w:r>
          </w:p>
        </w:tc>
        <w:tc>
          <w:tcPr>
            <w:tcW w:w="1002" w:type="dxa"/>
          </w:tcPr>
          <w:p w14:paraId="36985979" w14:textId="7B9506EA" w:rsidR="0014625F" w:rsidRPr="00670221" w:rsidRDefault="004542F5" w:rsidP="006A25D1">
            <w:pPr>
              <w:rPr>
                <w:b/>
                <w:bCs/>
                <w:sz w:val="18"/>
                <w:szCs w:val="18"/>
                <w:lang w:val="en-US"/>
              </w:rPr>
            </w:pPr>
            <w:r w:rsidRPr="00670221">
              <w:rPr>
                <w:b/>
                <w:bCs/>
                <w:sz w:val="18"/>
                <w:szCs w:val="18"/>
                <w:lang w:val="en-US"/>
              </w:rPr>
              <w:t xml:space="preserve">4000 </w:t>
            </w:r>
            <w:proofErr w:type="spellStart"/>
            <w:r w:rsidRPr="00670221">
              <w:rPr>
                <w:b/>
                <w:bCs/>
                <w:sz w:val="18"/>
                <w:szCs w:val="18"/>
                <w:lang w:val="en-US"/>
              </w:rPr>
              <w:t>Operatio</w:t>
            </w:r>
            <w:r w:rsidR="007B7505" w:rsidRPr="00670221">
              <w:rPr>
                <w:b/>
                <w:bCs/>
                <w:sz w:val="18"/>
                <w:szCs w:val="18"/>
                <w:lang w:val="en-US"/>
              </w:rPr>
              <w:t>-n</w:t>
            </w:r>
            <w:r w:rsidRPr="00670221">
              <w:rPr>
                <w:b/>
                <w:bCs/>
                <w:sz w:val="18"/>
                <w:szCs w:val="18"/>
                <w:lang w:val="en-US"/>
              </w:rPr>
              <w:t>al</w:t>
            </w:r>
            <w:proofErr w:type="spellEnd"/>
            <w:r w:rsidRPr="00670221">
              <w:rPr>
                <w:b/>
                <w:bCs/>
                <w:sz w:val="18"/>
                <w:szCs w:val="18"/>
                <w:lang w:val="en-US"/>
              </w:rPr>
              <w:t xml:space="preserve"> Hours</w:t>
            </w:r>
          </w:p>
        </w:tc>
      </w:tr>
      <w:tr w:rsidR="004116BB" w:rsidRPr="00670221" w14:paraId="7B340857" w14:textId="77777777" w:rsidTr="00D15956">
        <w:tc>
          <w:tcPr>
            <w:tcW w:w="1001" w:type="dxa"/>
          </w:tcPr>
          <w:p w14:paraId="4969A8A1" w14:textId="1A26B1CF" w:rsidR="0014625F" w:rsidRPr="00670221" w:rsidRDefault="00CE7C04" w:rsidP="006A25D1">
            <w:pPr>
              <w:rPr>
                <w:sz w:val="18"/>
                <w:szCs w:val="18"/>
                <w:lang w:val="en-US"/>
              </w:rPr>
            </w:pPr>
            <w:r w:rsidRPr="00670221">
              <w:rPr>
                <w:sz w:val="18"/>
                <w:szCs w:val="18"/>
                <w:lang w:val="en-US"/>
              </w:rPr>
              <w:t>Electric</w:t>
            </w:r>
            <w:r w:rsidR="00C1457E" w:rsidRPr="00670221">
              <w:rPr>
                <w:sz w:val="18"/>
                <w:szCs w:val="18"/>
                <w:lang w:val="en-US"/>
              </w:rPr>
              <w:t>it</w:t>
            </w:r>
            <w:r w:rsidRPr="00670221">
              <w:rPr>
                <w:sz w:val="18"/>
                <w:szCs w:val="18"/>
                <w:lang w:val="en-US"/>
              </w:rPr>
              <w:t>y price</w:t>
            </w:r>
          </w:p>
        </w:tc>
        <w:tc>
          <w:tcPr>
            <w:tcW w:w="1002" w:type="dxa"/>
          </w:tcPr>
          <w:p w14:paraId="7577083E" w14:textId="5E386A51" w:rsidR="0014625F" w:rsidRPr="00670221" w:rsidRDefault="00CE7C04" w:rsidP="00CE7C04">
            <w:pPr>
              <w:spacing w:line="480" w:lineRule="auto"/>
              <w:rPr>
                <w:sz w:val="18"/>
                <w:szCs w:val="18"/>
                <w:lang w:val="en-US"/>
              </w:rPr>
            </w:pPr>
            <w:r w:rsidRPr="00670221">
              <w:rPr>
                <w:sz w:val="18"/>
                <w:szCs w:val="18"/>
                <w:lang w:val="en-US"/>
              </w:rPr>
              <w:t>€/</w:t>
            </w:r>
            <w:proofErr w:type="spellStart"/>
            <w:r w:rsidRPr="00670221">
              <w:rPr>
                <w:sz w:val="18"/>
                <w:szCs w:val="18"/>
                <w:lang w:val="en-US"/>
              </w:rPr>
              <w:t>MWhel</w:t>
            </w:r>
            <w:proofErr w:type="spellEnd"/>
          </w:p>
        </w:tc>
        <w:tc>
          <w:tcPr>
            <w:tcW w:w="1002" w:type="dxa"/>
          </w:tcPr>
          <w:p w14:paraId="728437F8" w14:textId="66383F4B" w:rsidR="0014625F" w:rsidRPr="00670221" w:rsidRDefault="000F027B" w:rsidP="006A25D1">
            <w:pPr>
              <w:rPr>
                <w:sz w:val="18"/>
                <w:szCs w:val="18"/>
                <w:lang w:val="en-US"/>
              </w:rPr>
            </w:pPr>
            <w:r w:rsidRPr="00670221">
              <w:rPr>
                <w:sz w:val="18"/>
                <w:szCs w:val="18"/>
                <w:lang w:val="en-US"/>
              </w:rPr>
              <w:t>60</w:t>
            </w:r>
          </w:p>
        </w:tc>
        <w:tc>
          <w:tcPr>
            <w:tcW w:w="1002" w:type="dxa"/>
          </w:tcPr>
          <w:p w14:paraId="55641243" w14:textId="3E1FDE86" w:rsidR="0014625F" w:rsidRPr="00670221" w:rsidRDefault="0094281D" w:rsidP="006A25D1">
            <w:pPr>
              <w:rPr>
                <w:sz w:val="18"/>
                <w:szCs w:val="18"/>
                <w:lang w:val="en-US"/>
              </w:rPr>
            </w:pPr>
            <w:r w:rsidRPr="00670221">
              <w:rPr>
                <w:sz w:val="18"/>
                <w:szCs w:val="18"/>
                <w:lang w:val="en-US"/>
              </w:rPr>
              <w:t>60</w:t>
            </w:r>
          </w:p>
        </w:tc>
        <w:tc>
          <w:tcPr>
            <w:tcW w:w="1001" w:type="dxa"/>
          </w:tcPr>
          <w:p w14:paraId="7B1D8734" w14:textId="479BD7E7" w:rsidR="0014625F" w:rsidRPr="00670221" w:rsidRDefault="0094281D" w:rsidP="006A25D1">
            <w:pPr>
              <w:rPr>
                <w:b/>
                <w:bCs/>
                <w:sz w:val="18"/>
                <w:szCs w:val="18"/>
                <w:lang w:val="en-US"/>
              </w:rPr>
            </w:pPr>
            <w:r w:rsidRPr="00670221">
              <w:rPr>
                <w:b/>
                <w:bCs/>
                <w:sz w:val="18"/>
                <w:szCs w:val="18"/>
                <w:lang w:val="en-US"/>
              </w:rPr>
              <w:t>80</w:t>
            </w:r>
          </w:p>
        </w:tc>
        <w:tc>
          <w:tcPr>
            <w:tcW w:w="1002" w:type="dxa"/>
          </w:tcPr>
          <w:p w14:paraId="36D8C130" w14:textId="3A36CAF9" w:rsidR="0014625F" w:rsidRPr="00670221" w:rsidRDefault="0094281D" w:rsidP="006A25D1">
            <w:pPr>
              <w:rPr>
                <w:b/>
                <w:bCs/>
                <w:sz w:val="18"/>
                <w:szCs w:val="18"/>
                <w:lang w:val="en-US"/>
              </w:rPr>
            </w:pPr>
            <w:r w:rsidRPr="00670221">
              <w:rPr>
                <w:b/>
                <w:bCs/>
                <w:sz w:val="18"/>
                <w:szCs w:val="18"/>
                <w:lang w:val="en-US"/>
              </w:rPr>
              <w:t>40</w:t>
            </w:r>
          </w:p>
        </w:tc>
        <w:tc>
          <w:tcPr>
            <w:tcW w:w="1002" w:type="dxa"/>
          </w:tcPr>
          <w:p w14:paraId="34782C79" w14:textId="4B60E08B" w:rsidR="0014625F" w:rsidRPr="00670221" w:rsidRDefault="0094281D" w:rsidP="006A25D1">
            <w:pPr>
              <w:rPr>
                <w:sz w:val="18"/>
                <w:szCs w:val="18"/>
                <w:lang w:val="en-US"/>
              </w:rPr>
            </w:pPr>
            <w:r w:rsidRPr="00670221">
              <w:rPr>
                <w:sz w:val="18"/>
                <w:szCs w:val="18"/>
                <w:lang w:val="en-US"/>
              </w:rPr>
              <w:t>60</w:t>
            </w:r>
          </w:p>
        </w:tc>
        <w:tc>
          <w:tcPr>
            <w:tcW w:w="1002" w:type="dxa"/>
          </w:tcPr>
          <w:p w14:paraId="014EF63A" w14:textId="48AB6128" w:rsidR="0014625F" w:rsidRPr="00670221" w:rsidRDefault="0094281D" w:rsidP="006A25D1">
            <w:pPr>
              <w:rPr>
                <w:sz w:val="18"/>
                <w:szCs w:val="18"/>
                <w:lang w:val="en-US"/>
              </w:rPr>
            </w:pPr>
            <w:r w:rsidRPr="00670221">
              <w:rPr>
                <w:sz w:val="18"/>
                <w:szCs w:val="18"/>
                <w:lang w:val="en-US"/>
              </w:rPr>
              <w:t>60</w:t>
            </w:r>
          </w:p>
        </w:tc>
        <w:tc>
          <w:tcPr>
            <w:tcW w:w="1002" w:type="dxa"/>
          </w:tcPr>
          <w:p w14:paraId="4D48C17F" w14:textId="59C66EB6" w:rsidR="0014625F" w:rsidRPr="00670221" w:rsidRDefault="0094281D" w:rsidP="006A25D1">
            <w:pPr>
              <w:rPr>
                <w:sz w:val="18"/>
                <w:szCs w:val="18"/>
                <w:lang w:val="en-US"/>
              </w:rPr>
            </w:pPr>
            <w:r w:rsidRPr="00670221">
              <w:rPr>
                <w:sz w:val="18"/>
                <w:szCs w:val="18"/>
                <w:lang w:val="en-US"/>
              </w:rPr>
              <w:t>60</w:t>
            </w:r>
          </w:p>
        </w:tc>
      </w:tr>
      <w:tr w:rsidR="004116BB" w:rsidRPr="00670221" w14:paraId="6E95A42B" w14:textId="77777777" w:rsidTr="00D15956">
        <w:tc>
          <w:tcPr>
            <w:tcW w:w="1001" w:type="dxa"/>
          </w:tcPr>
          <w:p w14:paraId="1630E9CB" w14:textId="69E0614A" w:rsidR="0014625F" w:rsidRPr="00670221" w:rsidRDefault="00CE7C04" w:rsidP="006A25D1">
            <w:pPr>
              <w:rPr>
                <w:sz w:val="18"/>
                <w:szCs w:val="18"/>
                <w:lang w:val="en-US"/>
              </w:rPr>
            </w:pPr>
            <w:r w:rsidRPr="00670221">
              <w:rPr>
                <w:sz w:val="18"/>
                <w:szCs w:val="18"/>
                <w:lang w:val="en-US"/>
              </w:rPr>
              <w:t>Thermal energy price</w:t>
            </w:r>
          </w:p>
        </w:tc>
        <w:tc>
          <w:tcPr>
            <w:tcW w:w="1002" w:type="dxa"/>
          </w:tcPr>
          <w:p w14:paraId="6D85D1B5" w14:textId="33DA3D8F" w:rsidR="0014625F" w:rsidRPr="00670221" w:rsidRDefault="000F027B" w:rsidP="006A25D1">
            <w:pPr>
              <w:rPr>
                <w:sz w:val="18"/>
                <w:szCs w:val="18"/>
                <w:lang w:val="en-US"/>
              </w:rPr>
            </w:pPr>
            <w:r w:rsidRPr="00670221">
              <w:rPr>
                <w:sz w:val="18"/>
                <w:szCs w:val="18"/>
                <w:lang w:val="en-US"/>
              </w:rPr>
              <w:t>€/</w:t>
            </w:r>
            <w:proofErr w:type="spellStart"/>
            <w:r w:rsidRPr="00670221">
              <w:rPr>
                <w:sz w:val="18"/>
                <w:szCs w:val="18"/>
                <w:lang w:val="en-US"/>
              </w:rPr>
              <w:t>MWhth</w:t>
            </w:r>
            <w:proofErr w:type="spellEnd"/>
          </w:p>
        </w:tc>
        <w:tc>
          <w:tcPr>
            <w:tcW w:w="1002" w:type="dxa"/>
          </w:tcPr>
          <w:p w14:paraId="41CAF91A" w14:textId="16E10EEB" w:rsidR="0014625F" w:rsidRPr="00670221" w:rsidRDefault="000F027B" w:rsidP="006A25D1">
            <w:pPr>
              <w:rPr>
                <w:sz w:val="18"/>
                <w:szCs w:val="18"/>
                <w:lang w:val="en-US"/>
              </w:rPr>
            </w:pPr>
            <w:r w:rsidRPr="00670221">
              <w:rPr>
                <w:sz w:val="18"/>
                <w:szCs w:val="18"/>
                <w:lang w:val="en-US"/>
              </w:rPr>
              <w:t>0</w:t>
            </w:r>
          </w:p>
        </w:tc>
        <w:tc>
          <w:tcPr>
            <w:tcW w:w="1002" w:type="dxa"/>
          </w:tcPr>
          <w:p w14:paraId="22C326F3" w14:textId="2C32FE9F" w:rsidR="0014625F" w:rsidRPr="00670221" w:rsidRDefault="000C7313" w:rsidP="006A25D1">
            <w:pPr>
              <w:rPr>
                <w:b/>
                <w:bCs/>
                <w:sz w:val="18"/>
                <w:szCs w:val="18"/>
                <w:lang w:val="en-US"/>
              </w:rPr>
            </w:pPr>
            <w:r w:rsidRPr="00670221">
              <w:rPr>
                <w:b/>
                <w:bCs/>
                <w:sz w:val="18"/>
                <w:szCs w:val="18"/>
                <w:lang w:val="en-US"/>
              </w:rPr>
              <w:t>10</w:t>
            </w:r>
          </w:p>
        </w:tc>
        <w:tc>
          <w:tcPr>
            <w:tcW w:w="1001" w:type="dxa"/>
          </w:tcPr>
          <w:p w14:paraId="33B9FD36" w14:textId="3B5EE55D" w:rsidR="0014625F" w:rsidRPr="00670221" w:rsidRDefault="000C7313" w:rsidP="006A25D1">
            <w:pPr>
              <w:rPr>
                <w:sz w:val="18"/>
                <w:szCs w:val="18"/>
                <w:lang w:val="en-US"/>
              </w:rPr>
            </w:pPr>
            <w:r w:rsidRPr="00670221">
              <w:rPr>
                <w:sz w:val="18"/>
                <w:szCs w:val="18"/>
                <w:lang w:val="en-US"/>
              </w:rPr>
              <w:t>0</w:t>
            </w:r>
          </w:p>
        </w:tc>
        <w:tc>
          <w:tcPr>
            <w:tcW w:w="1002" w:type="dxa"/>
          </w:tcPr>
          <w:p w14:paraId="0133DEA8" w14:textId="42920530" w:rsidR="0014625F" w:rsidRPr="00670221" w:rsidRDefault="000C7313" w:rsidP="006A25D1">
            <w:pPr>
              <w:rPr>
                <w:sz w:val="18"/>
                <w:szCs w:val="18"/>
                <w:lang w:val="en-US"/>
              </w:rPr>
            </w:pPr>
            <w:r w:rsidRPr="00670221">
              <w:rPr>
                <w:sz w:val="18"/>
                <w:szCs w:val="18"/>
                <w:lang w:val="en-US"/>
              </w:rPr>
              <w:t>0</w:t>
            </w:r>
          </w:p>
        </w:tc>
        <w:tc>
          <w:tcPr>
            <w:tcW w:w="1002" w:type="dxa"/>
          </w:tcPr>
          <w:p w14:paraId="3DF184EF" w14:textId="76DDEB8F" w:rsidR="0014625F" w:rsidRPr="00670221" w:rsidRDefault="000C7313" w:rsidP="006A25D1">
            <w:pPr>
              <w:rPr>
                <w:sz w:val="18"/>
                <w:szCs w:val="18"/>
                <w:lang w:val="en-US"/>
              </w:rPr>
            </w:pPr>
            <w:r w:rsidRPr="00670221">
              <w:rPr>
                <w:sz w:val="18"/>
                <w:szCs w:val="18"/>
                <w:lang w:val="en-US"/>
              </w:rPr>
              <w:t>0</w:t>
            </w:r>
          </w:p>
        </w:tc>
        <w:tc>
          <w:tcPr>
            <w:tcW w:w="1002" w:type="dxa"/>
          </w:tcPr>
          <w:p w14:paraId="75859D9D" w14:textId="3AA2C715" w:rsidR="0014625F" w:rsidRPr="00670221" w:rsidRDefault="000C7313" w:rsidP="006A25D1">
            <w:pPr>
              <w:rPr>
                <w:sz w:val="18"/>
                <w:szCs w:val="18"/>
                <w:lang w:val="en-US"/>
              </w:rPr>
            </w:pPr>
            <w:r w:rsidRPr="00670221">
              <w:rPr>
                <w:sz w:val="18"/>
                <w:szCs w:val="18"/>
                <w:lang w:val="en-US"/>
              </w:rPr>
              <w:t>0</w:t>
            </w:r>
          </w:p>
        </w:tc>
        <w:tc>
          <w:tcPr>
            <w:tcW w:w="1002" w:type="dxa"/>
          </w:tcPr>
          <w:p w14:paraId="21FC7EB5" w14:textId="11BC4D51" w:rsidR="0014625F" w:rsidRPr="00670221" w:rsidRDefault="000C7313" w:rsidP="006A25D1">
            <w:pPr>
              <w:rPr>
                <w:sz w:val="18"/>
                <w:szCs w:val="18"/>
                <w:lang w:val="en-US"/>
              </w:rPr>
            </w:pPr>
            <w:r w:rsidRPr="00670221">
              <w:rPr>
                <w:sz w:val="18"/>
                <w:szCs w:val="18"/>
                <w:lang w:val="en-US"/>
              </w:rPr>
              <w:t>0</w:t>
            </w:r>
          </w:p>
        </w:tc>
      </w:tr>
      <w:tr w:rsidR="004116BB" w:rsidRPr="00670221" w14:paraId="0533A537" w14:textId="77777777" w:rsidTr="00D15956">
        <w:tc>
          <w:tcPr>
            <w:tcW w:w="1001" w:type="dxa"/>
          </w:tcPr>
          <w:p w14:paraId="7DC7EB38" w14:textId="79C8CF73" w:rsidR="0014625F" w:rsidRPr="00670221" w:rsidRDefault="007D7772" w:rsidP="006A25D1">
            <w:pPr>
              <w:rPr>
                <w:sz w:val="18"/>
                <w:szCs w:val="18"/>
                <w:lang w:val="en-US"/>
              </w:rPr>
            </w:pPr>
            <w:r w:rsidRPr="00670221">
              <w:rPr>
                <w:sz w:val="18"/>
                <w:szCs w:val="18"/>
                <w:lang w:val="en-US"/>
              </w:rPr>
              <w:t>EU ETS price</w:t>
            </w:r>
          </w:p>
        </w:tc>
        <w:tc>
          <w:tcPr>
            <w:tcW w:w="1002" w:type="dxa"/>
          </w:tcPr>
          <w:p w14:paraId="7997CF3B" w14:textId="33F715F0" w:rsidR="0014625F" w:rsidRPr="00670221" w:rsidRDefault="007D7772" w:rsidP="007D7772">
            <w:pPr>
              <w:spacing w:line="480" w:lineRule="auto"/>
              <w:rPr>
                <w:sz w:val="18"/>
                <w:szCs w:val="18"/>
                <w:lang w:val="en-US"/>
              </w:rPr>
            </w:pPr>
            <w:r w:rsidRPr="00670221">
              <w:rPr>
                <w:sz w:val="18"/>
                <w:szCs w:val="18"/>
                <w:lang w:val="en-US"/>
              </w:rPr>
              <w:t>€/ton CO2</w:t>
            </w:r>
          </w:p>
        </w:tc>
        <w:tc>
          <w:tcPr>
            <w:tcW w:w="1002" w:type="dxa"/>
          </w:tcPr>
          <w:p w14:paraId="4FF60F6E" w14:textId="3A34A873" w:rsidR="0014625F" w:rsidRPr="00670221" w:rsidRDefault="007D7772" w:rsidP="006A25D1">
            <w:pPr>
              <w:rPr>
                <w:sz w:val="18"/>
                <w:szCs w:val="18"/>
                <w:lang w:val="en-US"/>
              </w:rPr>
            </w:pPr>
            <w:r w:rsidRPr="00670221">
              <w:rPr>
                <w:sz w:val="18"/>
                <w:szCs w:val="18"/>
                <w:lang w:val="en-US"/>
              </w:rPr>
              <w:t xml:space="preserve">EU ETS </w:t>
            </w:r>
            <w:r w:rsidR="000C7313" w:rsidRPr="00670221">
              <w:rPr>
                <w:sz w:val="18"/>
                <w:szCs w:val="18"/>
                <w:lang w:val="en-US"/>
              </w:rPr>
              <w:t>trendline</w:t>
            </w:r>
          </w:p>
        </w:tc>
        <w:tc>
          <w:tcPr>
            <w:tcW w:w="1002" w:type="dxa"/>
          </w:tcPr>
          <w:p w14:paraId="2DBAD8B0" w14:textId="568A73D6" w:rsidR="0014625F" w:rsidRPr="00670221" w:rsidRDefault="000C7313" w:rsidP="006A25D1">
            <w:pPr>
              <w:rPr>
                <w:sz w:val="18"/>
                <w:szCs w:val="18"/>
                <w:lang w:val="en-US"/>
              </w:rPr>
            </w:pPr>
            <w:r w:rsidRPr="00670221">
              <w:rPr>
                <w:sz w:val="18"/>
                <w:szCs w:val="18"/>
                <w:lang w:val="en-US"/>
              </w:rPr>
              <w:t>EU ETS trendline</w:t>
            </w:r>
          </w:p>
        </w:tc>
        <w:tc>
          <w:tcPr>
            <w:tcW w:w="1001" w:type="dxa"/>
          </w:tcPr>
          <w:p w14:paraId="741796B9" w14:textId="188ACFE2" w:rsidR="0014625F" w:rsidRPr="00670221" w:rsidRDefault="000C7313" w:rsidP="006A25D1">
            <w:pPr>
              <w:rPr>
                <w:sz w:val="18"/>
                <w:szCs w:val="18"/>
                <w:lang w:val="en-US"/>
              </w:rPr>
            </w:pPr>
            <w:r w:rsidRPr="00670221">
              <w:rPr>
                <w:sz w:val="18"/>
                <w:szCs w:val="18"/>
                <w:lang w:val="en-US"/>
              </w:rPr>
              <w:t>EU ETS trendline</w:t>
            </w:r>
          </w:p>
        </w:tc>
        <w:tc>
          <w:tcPr>
            <w:tcW w:w="1002" w:type="dxa"/>
          </w:tcPr>
          <w:p w14:paraId="47FE3FA7" w14:textId="2055BD3D" w:rsidR="0014625F" w:rsidRPr="00670221" w:rsidRDefault="000C7313" w:rsidP="006A25D1">
            <w:pPr>
              <w:rPr>
                <w:sz w:val="18"/>
                <w:szCs w:val="18"/>
                <w:lang w:val="en-US"/>
              </w:rPr>
            </w:pPr>
            <w:r w:rsidRPr="00670221">
              <w:rPr>
                <w:sz w:val="18"/>
                <w:szCs w:val="18"/>
                <w:lang w:val="en-US"/>
              </w:rPr>
              <w:t>EU ETS trendline</w:t>
            </w:r>
          </w:p>
        </w:tc>
        <w:tc>
          <w:tcPr>
            <w:tcW w:w="1002" w:type="dxa"/>
          </w:tcPr>
          <w:p w14:paraId="7FDCBAA9" w14:textId="30E9A667" w:rsidR="0014625F" w:rsidRPr="00670221" w:rsidRDefault="007E6B94" w:rsidP="006A25D1">
            <w:pPr>
              <w:rPr>
                <w:b/>
                <w:bCs/>
                <w:sz w:val="18"/>
                <w:szCs w:val="18"/>
                <w:lang w:val="en-US"/>
              </w:rPr>
            </w:pPr>
            <w:r w:rsidRPr="00670221">
              <w:rPr>
                <w:b/>
                <w:bCs/>
                <w:sz w:val="18"/>
                <w:szCs w:val="18"/>
                <w:lang w:val="en-US"/>
              </w:rPr>
              <w:t>SA UB trendline</w:t>
            </w:r>
          </w:p>
        </w:tc>
        <w:tc>
          <w:tcPr>
            <w:tcW w:w="1002" w:type="dxa"/>
          </w:tcPr>
          <w:p w14:paraId="51F1F328" w14:textId="6218A409" w:rsidR="0014625F" w:rsidRPr="00670221" w:rsidRDefault="007E6B94" w:rsidP="006A25D1">
            <w:pPr>
              <w:rPr>
                <w:b/>
                <w:bCs/>
                <w:sz w:val="18"/>
                <w:szCs w:val="18"/>
                <w:lang w:val="en-US"/>
              </w:rPr>
            </w:pPr>
            <w:r w:rsidRPr="00670221">
              <w:rPr>
                <w:b/>
                <w:bCs/>
                <w:sz w:val="18"/>
                <w:szCs w:val="18"/>
                <w:lang w:val="en-US"/>
              </w:rPr>
              <w:t>SA LB trendline</w:t>
            </w:r>
          </w:p>
        </w:tc>
        <w:tc>
          <w:tcPr>
            <w:tcW w:w="1002" w:type="dxa"/>
          </w:tcPr>
          <w:p w14:paraId="4A0A38D8" w14:textId="1449801D" w:rsidR="0014625F" w:rsidRPr="00670221" w:rsidRDefault="000C7313" w:rsidP="006A25D1">
            <w:pPr>
              <w:rPr>
                <w:sz w:val="18"/>
                <w:szCs w:val="18"/>
                <w:lang w:val="en-US"/>
              </w:rPr>
            </w:pPr>
            <w:r w:rsidRPr="00670221">
              <w:rPr>
                <w:sz w:val="18"/>
                <w:szCs w:val="18"/>
                <w:lang w:val="en-US"/>
              </w:rPr>
              <w:t>EU ETS trendline</w:t>
            </w:r>
          </w:p>
        </w:tc>
      </w:tr>
      <w:tr w:rsidR="007D7772" w:rsidRPr="00670221" w14:paraId="58435052" w14:textId="77777777" w:rsidTr="00D15956">
        <w:tc>
          <w:tcPr>
            <w:tcW w:w="1001" w:type="dxa"/>
          </w:tcPr>
          <w:p w14:paraId="2955F44A" w14:textId="5A5BD0A3" w:rsidR="007D7772" w:rsidRPr="00670221" w:rsidRDefault="007D7772" w:rsidP="007D7772">
            <w:pPr>
              <w:rPr>
                <w:sz w:val="18"/>
                <w:szCs w:val="18"/>
                <w:lang w:val="en-US"/>
              </w:rPr>
            </w:pPr>
            <w:r w:rsidRPr="00670221">
              <w:rPr>
                <w:sz w:val="18"/>
                <w:szCs w:val="18"/>
                <w:lang w:val="en-US"/>
              </w:rPr>
              <w:t>Run time</w:t>
            </w:r>
          </w:p>
        </w:tc>
        <w:tc>
          <w:tcPr>
            <w:tcW w:w="1002" w:type="dxa"/>
          </w:tcPr>
          <w:p w14:paraId="61899565" w14:textId="7809D4D6" w:rsidR="007D7772" w:rsidRPr="00670221" w:rsidRDefault="007D7772" w:rsidP="007D7772">
            <w:pPr>
              <w:rPr>
                <w:sz w:val="18"/>
                <w:szCs w:val="18"/>
                <w:lang w:val="en-US"/>
              </w:rPr>
            </w:pPr>
            <w:r w:rsidRPr="00670221">
              <w:rPr>
                <w:sz w:val="18"/>
                <w:szCs w:val="18"/>
                <w:lang w:val="en-US"/>
              </w:rPr>
              <w:t>Hours</w:t>
            </w:r>
            <w:r w:rsidR="00611FB2" w:rsidRPr="00670221">
              <w:rPr>
                <w:sz w:val="18"/>
                <w:szCs w:val="18"/>
                <w:lang w:val="en-US"/>
              </w:rPr>
              <w:t xml:space="preserve"> per year</w:t>
            </w:r>
          </w:p>
        </w:tc>
        <w:tc>
          <w:tcPr>
            <w:tcW w:w="1002" w:type="dxa"/>
          </w:tcPr>
          <w:p w14:paraId="76352DB6" w14:textId="69E9CFD8" w:rsidR="007D7772" w:rsidRPr="00670221" w:rsidRDefault="007D7772" w:rsidP="007D7772">
            <w:pPr>
              <w:rPr>
                <w:sz w:val="18"/>
                <w:szCs w:val="18"/>
                <w:lang w:val="en-US"/>
              </w:rPr>
            </w:pPr>
            <w:r w:rsidRPr="00670221">
              <w:rPr>
                <w:sz w:val="18"/>
                <w:szCs w:val="18"/>
                <w:lang w:val="en-US"/>
              </w:rPr>
              <w:t>8000</w:t>
            </w:r>
          </w:p>
        </w:tc>
        <w:tc>
          <w:tcPr>
            <w:tcW w:w="1002" w:type="dxa"/>
          </w:tcPr>
          <w:p w14:paraId="7127A024" w14:textId="49D77965" w:rsidR="007D7772" w:rsidRPr="00670221" w:rsidRDefault="007D7772" w:rsidP="007D7772">
            <w:pPr>
              <w:rPr>
                <w:sz w:val="18"/>
                <w:szCs w:val="18"/>
                <w:lang w:val="en-US"/>
              </w:rPr>
            </w:pPr>
            <w:r w:rsidRPr="00670221">
              <w:rPr>
                <w:sz w:val="18"/>
                <w:szCs w:val="18"/>
                <w:lang w:val="en-US"/>
              </w:rPr>
              <w:t>8000</w:t>
            </w:r>
          </w:p>
        </w:tc>
        <w:tc>
          <w:tcPr>
            <w:tcW w:w="1001" w:type="dxa"/>
          </w:tcPr>
          <w:p w14:paraId="18377D0B" w14:textId="6A58EF0E" w:rsidR="007D7772" w:rsidRPr="00670221" w:rsidRDefault="007D7772" w:rsidP="007D7772">
            <w:pPr>
              <w:rPr>
                <w:sz w:val="18"/>
                <w:szCs w:val="18"/>
                <w:lang w:val="en-US"/>
              </w:rPr>
            </w:pPr>
            <w:r w:rsidRPr="00670221">
              <w:rPr>
                <w:sz w:val="18"/>
                <w:szCs w:val="18"/>
                <w:lang w:val="en-US"/>
              </w:rPr>
              <w:t>8000</w:t>
            </w:r>
          </w:p>
        </w:tc>
        <w:tc>
          <w:tcPr>
            <w:tcW w:w="1002" w:type="dxa"/>
          </w:tcPr>
          <w:p w14:paraId="23C4BB22" w14:textId="70D7E458" w:rsidR="007D7772" w:rsidRPr="00670221" w:rsidRDefault="007D7772" w:rsidP="007D7772">
            <w:pPr>
              <w:rPr>
                <w:sz w:val="18"/>
                <w:szCs w:val="18"/>
                <w:lang w:val="en-US"/>
              </w:rPr>
            </w:pPr>
            <w:r w:rsidRPr="00670221">
              <w:rPr>
                <w:sz w:val="18"/>
                <w:szCs w:val="18"/>
                <w:lang w:val="en-US"/>
              </w:rPr>
              <w:t>8000</w:t>
            </w:r>
          </w:p>
        </w:tc>
        <w:tc>
          <w:tcPr>
            <w:tcW w:w="1002" w:type="dxa"/>
          </w:tcPr>
          <w:p w14:paraId="4D4BBA4D" w14:textId="255FF244" w:rsidR="007D7772" w:rsidRPr="00670221" w:rsidRDefault="007D7772" w:rsidP="007D7772">
            <w:pPr>
              <w:rPr>
                <w:sz w:val="18"/>
                <w:szCs w:val="18"/>
                <w:lang w:val="en-US"/>
              </w:rPr>
            </w:pPr>
            <w:r w:rsidRPr="00670221">
              <w:rPr>
                <w:sz w:val="18"/>
                <w:szCs w:val="18"/>
                <w:lang w:val="en-US"/>
              </w:rPr>
              <w:t>8000</w:t>
            </w:r>
          </w:p>
        </w:tc>
        <w:tc>
          <w:tcPr>
            <w:tcW w:w="1002" w:type="dxa"/>
          </w:tcPr>
          <w:p w14:paraId="6D370997" w14:textId="6CDDDC90" w:rsidR="007D7772" w:rsidRPr="00670221" w:rsidRDefault="007D7772" w:rsidP="007D7772">
            <w:pPr>
              <w:rPr>
                <w:sz w:val="18"/>
                <w:szCs w:val="18"/>
                <w:lang w:val="en-US"/>
              </w:rPr>
            </w:pPr>
            <w:r w:rsidRPr="00670221">
              <w:rPr>
                <w:sz w:val="18"/>
                <w:szCs w:val="18"/>
                <w:lang w:val="en-US"/>
              </w:rPr>
              <w:t>8000</w:t>
            </w:r>
          </w:p>
        </w:tc>
        <w:tc>
          <w:tcPr>
            <w:tcW w:w="1002" w:type="dxa"/>
          </w:tcPr>
          <w:p w14:paraId="7377DC17" w14:textId="1663738E" w:rsidR="007D7772" w:rsidRPr="00670221" w:rsidRDefault="007D7772" w:rsidP="00117425">
            <w:pPr>
              <w:keepNext/>
              <w:rPr>
                <w:b/>
                <w:bCs/>
                <w:sz w:val="18"/>
                <w:szCs w:val="18"/>
                <w:lang w:val="en-US"/>
              </w:rPr>
            </w:pPr>
            <w:r w:rsidRPr="00670221">
              <w:rPr>
                <w:b/>
                <w:bCs/>
                <w:sz w:val="18"/>
                <w:szCs w:val="18"/>
                <w:lang w:val="en-US"/>
              </w:rPr>
              <w:t>4000</w:t>
            </w:r>
          </w:p>
        </w:tc>
      </w:tr>
    </w:tbl>
    <w:p w14:paraId="4CE2541E" w14:textId="0AA6447C" w:rsidR="00702935" w:rsidRPr="00670221" w:rsidRDefault="00117425" w:rsidP="00B0625C">
      <w:pPr>
        <w:pStyle w:val="Caption"/>
        <w:rPr>
          <w:lang w:val="en-US"/>
        </w:rPr>
      </w:pPr>
      <w:bookmarkStart w:id="109" w:name="_Toc184403597"/>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8</w:t>
      </w:r>
      <w:r w:rsidR="00EF60A5" w:rsidRPr="00670221">
        <w:rPr>
          <w:lang w:val="en-US"/>
        </w:rPr>
        <w:fldChar w:fldCharType="end"/>
      </w:r>
      <w:r w:rsidRPr="00670221">
        <w:rPr>
          <w:lang w:val="en-US"/>
        </w:rPr>
        <w:t xml:space="preserve">: Parameters for the levelized cost of </w:t>
      </w:r>
      <w:r w:rsidR="009532BC" w:rsidRPr="00670221">
        <w:rPr>
          <w:lang w:val="en-US"/>
        </w:rPr>
        <w:t>CO</w:t>
      </w:r>
      <w:r w:rsidR="009532BC" w:rsidRPr="005069CD">
        <w:rPr>
          <w:vertAlign w:val="subscript"/>
          <w:lang w:val="en-US"/>
        </w:rPr>
        <w:t>2</w:t>
      </w:r>
      <w:r w:rsidR="00B0625C" w:rsidRPr="00670221">
        <w:rPr>
          <w:lang w:val="en-US"/>
        </w:rPr>
        <w:t xml:space="preserve">: </w:t>
      </w:r>
      <w:r w:rsidRPr="00670221">
        <w:rPr>
          <w:lang w:val="en-US"/>
        </w:rPr>
        <w:t>sensitivity analysis</w:t>
      </w:r>
      <w:bookmarkEnd w:id="109"/>
    </w:p>
    <w:p w14:paraId="4CFFE3B5" w14:textId="3DCD7107" w:rsidR="006A25D1" w:rsidRPr="00670221" w:rsidRDefault="007A3F62" w:rsidP="00760DD9">
      <w:pPr>
        <w:rPr>
          <w:lang w:val="en-US"/>
        </w:rPr>
      </w:pPr>
      <w:r w:rsidRPr="00670221">
        <w:rPr>
          <w:lang w:val="en-US"/>
        </w:rPr>
        <w:t>The</w:t>
      </w:r>
      <w:r w:rsidR="009271F4" w:rsidRPr="00670221">
        <w:rPr>
          <w:lang w:val="en-US"/>
        </w:rPr>
        <w:t xml:space="preserve"> key takeaway is that in </w:t>
      </w:r>
      <w:r w:rsidR="00537019" w:rsidRPr="00670221">
        <w:rPr>
          <w:lang w:val="en-US"/>
        </w:rPr>
        <w:t xml:space="preserve">all </w:t>
      </w:r>
      <w:r w:rsidR="009271F4" w:rsidRPr="00670221">
        <w:rPr>
          <w:lang w:val="en-US"/>
        </w:rPr>
        <w:t xml:space="preserve">scenarios </w:t>
      </w:r>
      <w:r w:rsidR="00AD667B" w:rsidRPr="00670221">
        <w:rPr>
          <w:lang w:val="en-US"/>
        </w:rPr>
        <w:t xml:space="preserve">that result in higher DAC </w:t>
      </w:r>
      <w:r w:rsidR="005069CD" w:rsidRPr="00670221">
        <w:rPr>
          <w:lang w:val="en-US"/>
        </w:rPr>
        <w:t>CO₂</w:t>
      </w:r>
      <w:r w:rsidR="005069CD">
        <w:rPr>
          <w:lang w:val="en-US"/>
        </w:rPr>
        <w:t xml:space="preserve"> </w:t>
      </w:r>
      <w:r w:rsidR="008355F0" w:rsidRPr="00670221">
        <w:rPr>
          <w:lang w:val="en-US"/>
        </w:rPr>
        <w:t>costs, DAC</w:t>
      </w:r>
      <w:r w:rsidR="009271F4" w:rsidRPr="00670221">
        <w:rPr>
          <w:lang w:val="en-US"/>
        </w:rPr>
        <w:t xml:space="preserve"> still becomes </w:t>
      </w:r>
      <w:r w:rsidR="00254107" w:rsidRPr="00670221">
        <w:rPr>
          <w:lang w:val="en-US"/>
        </w:rPr>
        <w:t>cost competitive with</w:t>
      </w:r>
      <w:r w:rsidR="009271F4" w:rsidRPr="00670221">
        <w:rPr>
          <w:lang w:val="en-US"/>
        </w:rPr>
        <w:t xml:space="preserve"> fossil-based </w:t>
      </w:r>
      <w:r w:rsidR="005069CD" w:rsidRPr="00670221">
        <w:rPr>
          <w:lang w:val="en-US"/>
        </w:rPr>
        <w:t>CO₂</w:t>
      </w:r>
      <w:r w:rsidR="005069CD">
        <w:rPr>
          <w:lang w:val="en-US"/>
        </w:rPr>
        <w:t xml:space="preserve"> </w:t>
      </w:r>
      <w:r w:rsidR="009271F4" w:rsidRPr="00670221">
        <w:rPr>
          <w:lang w:val="en-US"/>
        </w:rPr>
        <w:t xml:space="preserve">sources before 2036. This is notable as 2036 marks the earliest phase-out of certain fossil-based </w:t>
      </w:r>
      <w:r w:rsidR="005069CD" w:rsidRPr="00670221">
        <w:rPr>
          <w:lang w:val="en-US"/>
        </w:rPr>
        <w:t>CO₂</w:t>
      </w:r>
      <w:r w:rsidR="005069CD">
        <w:rPr>
          <w:lang w:val="en-US"/>
        </w:rPr>
        <w:t xml:space="preserve"> </w:t>
      </w:r>
      <w:r w:rsidR="009271F4" w:rsidRPr="00670221">
        <w:rPr>
          <w:lang w:val="en-US"/>
        </w:rPr>
        <w:t xml:space="preserve">sources. </w:t>
      </w:r>
      <w:r w:rsidR="002C79F0" w:rsidRPr="00670221">
        <w:rPr>
          <w:lang w:val="en-US"/>
        </w:rPr>
        <w:t>Additionally, t</w:t>
      </w:r>
      <w:r w:rsidR="009271F4" w:rsidRPr="00670221">
        <w:rPr>
          <w:lang w:val="en-US"/>
        </w:rPr>
        <w:t xml:space="preserve">he lowest </w:t>
      </w:r>
      <w:r w:rsidR="005069CD" w:rsidRPr="00670221">
        <w:rPr>
          <w:lang w:val="en-US"/>
        </w:rPr>
        <w:t>CO₂</w:t>
      </w:r>
      <w:r w:rsidR="005069CD">
        <w:rPr>
          <w:lang w:val="en-US"/>
        </w:rPr>
        <w:t xml:space="preserve"> </w:t>
      </w:r>
      <w:r w:rsidR="009271F4" w:rsidRPr="00670221">
        <w:rPr>
          <w:lang w:val="en-US"/>
        </w:rPr>
        <w:t>price, €50</w:t>
      </w:r>
      <w:r w:rsidR="002C79F0" w:rsidRPr="00670221">
        <w:rPr>
          <w:lang w:val="en-US"/>
        </w:rPr>
        <w:t>,</w:t>
      </w:r>
      <w:r w:rsidR="009271F4" w:rsidRPr="00670221">
        <w:rPr>
          <w:lang w:val="en-US"/>
        </w:rPr>
        <w:t xml:space="preserve">20, is achieved by high-concentration biogenic </w:t>
      </w:r>
      <w:r w:rsidR="005069CD" w:rsidRPr="00670221">
        <w:rPr>
          <w:lang w:val="en-US"/>
        </w:rPr>
        <w:t>CO₂</w:t>
      </w:r>
      <w:r w:rsidR="005069CD">
        <w:rPr>
          <w:lang w:val="en-US"/>
        </w:rPr>
        <w:t xml:space="preserve"> </w:t>
      </w:r>
      <w:r w:rsidR="009271F4" w:rsidRPr="00670221">
        <w:rPr>
          <w:lang w:val="en-US"/>
        </w:rPr>
        <w:t xml:space="preserve">in </w:t>
      </w:r>
      <w:r w:rsidR="00395CB8" w:rsidRPr="00670221">
        <w:rPr>
          <w:lang w:val="en-US"/>
        </w:rPr>
        <w:t>the</w:t>
      </w:r>
      <w:r w:rsidR="00FC37D2" w:rsidRPr="00670221">
        <w:rPr>
          <w:lang w:val="en-US"/>
        </w:rPr>
        <w:t xml:space="preserve"> low</w:t>
      </w:r>
      <w:r w:rsidR="00E65261" w:rsidRPr="00670221">
        <w:rPr>
          <w:lang w:val="en-US"/>
        </w:rPr>
        <w:t>er</w:t>
      </w:r>
      <w:r w:rsidR="00FC37D2" w:rsidRPr="00670221">
        <w:rPr>
          <w:lang w:val="en-US"/>
        </w:rPr>
        <w:t xml:space="preserve"> bound electric</w:t>
      </w:r>
      <w:r w:rsidR="006937A1" w:rsidRPr="00670221">
        <w:rPr>
          <w:lang w:val="en-US"/>
        </w:rPr>
        <w:t>i</w:t>
      </w:r>
      <w:r w:rsidR="00FC37D2" w:rsidRPr="00670221">
        <w:rPr>
          <w:lang w:val="en-US"/>
        </w:rPr>
        <w:t>ty</w:t>
      </w:r>
      <w:r w:rsidR="009271F4" w:rsidRPr="00670221">
        <w:rPr>
          <w:lang w:val="en-US"/>
        </w:rPr>
        <w:t xml:space="preserve"> scenario where the electricity price is set at €40/MWh. In this same scenario, DAC </w:t>
      </w:r>
      <w:r w:rsidR="005069CD" w:rsidRPr="00670221">
        <w:rPr>
          <w:lang w:val="en-US"/>
        </w:rPr>
        <w:t>CO</w:t>
      </w:r>
      <w:r w:rsidR="005069CD" w:rsidRPr="005069CD">
        <w:rPr>
          <w:vertAlign w:val="subscript"/>
          <w:lang w:val="en-US"/>
        </w:rPr>
        <w:t>2</w:t>
      </w:r>
      <w:r w:rsidR="009271F4" w:rsidRPr="00670221">
        <w:rPr>
          <w:lang w:val="en-US"/>
        </w:rPr>
        <w:t xml:space="preserve"> nearly reaches cost parity with high-concentration biogenic </w:t>
      </w:r>
      <w:r w:rsidR="005069CD" w:rsidRPr="00670221">
        <w:rPr>
          <w:lang w:val="en-US"/>
        </w:rPr>
        <w:t>CO</w:t>
      </w:r>
      <w:r w:rsidR="005069CD" w:rsidRPr="005069CD">
        <w:rPr>
          <w:vertAlign w:val="subscript"/>
          <w:lang w:val="en-US"/>
        </w:rPr>
        <w:t>2</w:t>
      </w:r>
      <w:r w:rsidR="005069CD" w:rsidRPr="00670221">
        <w:rPr>
          <w:lang w:val="en-US"/>
        </w:rPr>
        <w:t xml:space="preserve"> </w:t>
      </w:r>
      <w:r w:rsidR="002C79F0" w:rsidRPr="00670221">
        <w:rPr>
          <w:lang w:val="en-US"/>
        </w:rPr>
        <w:t>in 2050</w:t>
      </w:r>
      <w:r w:rsidR="009271F4" w:rsidRPr="00670221">
        <w:rPr>
          <w:lang w:val="en-US"/>
        </w:rPr>
        <w:t>.</w:t>
      </w:r>
    </w:p>
    <w:p w14:paraId="0C7706D0" w14:textId="0D7ADC86" w:rsidR="00760DD9" w:rsidRPr="00670221" w:rsidRDefault="002E04B0" w:rsidP="00760DD9">
      <w:pPr>
        <w:rPr>
          <w:lang w:val="en-US"/>
        </w:rPr>
      </w:pPr>
      <w:r w:rsidRPr="00670221">
        <w:rPr>
          <w:lang w:val="en-US"/>
        </w:rPr>
        <w:t xml:space="preserve">The most significant negative impact on DAC </w:t>
      </w:r>
      <w:r w:rsidR="005069CD" w:rsidRPr="00670221">
        <w:rPr>
          <w:lang w:val="en-US"/>
        </w:rPr>
        <w:t>CO</w:t>
      </w:r>
      <w:r w:rsidR="005069CD" w:rsidRPr="005069CD">
        <w:rPr>
          <w:vertAlign w:val="subscript"/>
          <w:lang w:val="en-US"/>
        </w:rPr>
        <w:t>2</w:t>
      </w:r>
      <w:r w:rsidR="005069CD" w:rsidRPr="00670221">
        <w:rPr>
          <w:lang w:val="en-US"/>
        </w:rPr>
        <w:t xml:space="preserve"> </w:t>
      </w:r>
      <w:r w:rsidRPr="00670221">
        <w:rPr>
          <w:lang w:val="en-US"/>
        </w:rPr>
        <w:t xml:space="preserve">prices occurs when operational hours drop from 8,000 to 4,000 annually. This delays the cost advantage over low- and high-concentration fossil alternatives to 2032 and 2035, respectively. In this scenario, DAC only surpasses low-concentration biogenic </w:t>
      </w:r>
      <w:r w:rsidR="005069CD" w:rsidRPr="00670221">
        <w:rPr>
          <w:lang w:val="en-US"/>
        </w:rPr>
        <w:t>CO</w:t>
      </w:r>
      <w:r w:rsidR="005069CD" w:rsidRPr="005069CD">
        <w:rPr>
          <w:vertAlign w:val="subscript"/>
          <w:lang w:val="en-US"/>
        </w:rPr>
        <w:t>2</w:t>
      </w:r>
      <w:r w:rsidR="005069CD" w:rsidRPr="00670221">
        <w:rPr>
          <w:lang w:val="en-US"/>
        </w:rPr>
        <w:t xml:space="preserve"> </w:t>
      </w:r>
      <w:r w:rsidRPr="00670221">
        <w:rPr>
          <w:lang w:val="en-US"/>
        </w:rPr>
        <w:t>in 2046, compared to 2039 in the base case.</w:t>
      </w:r>
      <w:r w:rsidR="00456C8D" w:rsidRPr="00670221">
        <w:rPr>
          <w:lang w:val="en-US"/>
        </w:rPr>
        <w:t xml:space="preserve"> </w:t>
      </w:r>
      <w:r w:rsidR="00F518BD" w:rsidRPr="00670221">
        <w:rPr>
          <w:lang w:val="en-US"/>
        </w:rPr>
        <w:t xml:space="preserve">Also, </w:t>
      </w:r>
      <w:r w:rsidR="00456C8D" w:rsidRPr="00670221">
        <w:rPr>
          <w:lang w:val="en-US"/>
        </w:rPr>
        <w:t xml:space="preserve">In 2050, DAC </w:t>
      </w:r>
      <w:r w:rsidR="005069CD" w:rsidRPr="00670221">
        <w:rPr>
          <w:lang w:val="en-US"/>
        </w:rPr>
        <w:t>CO</w:t>
      </w:r>
      <w:r w:rsidR="005069CD" w:rsidRPr="005069CD">
        <w:rPr>
          <w:vertAlign w:val="subscript"/>
          <w:lang w:val="en-US"/>
        </w:rPr>
        <w:t>2</w:t>
      </w:r>
      <w:r w:rsidR="005069CD" w:rsidRPr="00670221">
        <w:rPr>
          <w:lang w:val="en-US"/>
        </w:rPr>
        <w:t xml:space="preserve"> </w:t>
      </w:r>
      <w:r w:rsidR="00456C8D" w:rsidRPr="00670221">
        <w:rPr>
          <w:lang w:val="en-US"/>
        </w:rPr>
        <w:t xml:space="preserve">costs are </w:t>
      </w:r>
      <w:r w:rsidR="00F518BD" w:rsidRPr="00670221">
        <w:rPr>
          <w:lang w:val="en-US"/>
        </w:rPr>
        <w:t>€87,51</w:t>
      </w:r>
      <w:r w:rsidR="005C6A00" w:rsidRPr="00670221">
        <w:rPr>
          <w:lang w:val="en-US"/>
        </w:rPr>
        <w:t xml:space="preserve"> </w:t>
      </w:r>
      <w:r w:rsidR="009264C6" w:rsidRPr="00670221">
        <w:rPr>
          <w:lang w:val="en-US"/>
        </w:rPr>
        <w:t>more than €</w:t>
      </w:r>
      <w:proofErr w:type="gramStart"/>
      <w:r w:rsidR="009264C6" w:rsidRPr="00670221">
        <w:rPr>
          <w:lang w:val="en-US"/>
        </w:rPr>
        <w:t>20,-</w:t>
      </w:r>
      <w:proofErr w:type="gramEnd"/>
      <w:r w:rsidR="009264C6" w:rsidRPr="00670221">
        <w:rPr>
          <w:lang w:val="en-US"/>
        </w:rPr>
        <w:t xml:space="preserve"> higher than </w:t>
      </w:r>
      <w:r w:rsidR="009E5C5E" w:rsidRPr="00670221">
        <w:rPr>
          <w:lang w:val="en-US"/>
        </w:rPr>
        <w:t>the cost per ton in the base case.</w:t>
      </w:r>
      <w:r w:rsidR="005C6A00" w:rsidRPr="00670221">
        <w:rPr>
          <w:lang w:val="en-US"/>
        </w:rPr>
        <w:t xml:space="preserve"> </w:t>
      </w:r>
    </w:p>
    <w:p w14:paraId="25042016" w14:textId="14794C76" w:rsidR="0073710C" w:rsidRPr="00670221" w:rsidRDefault="000725F3" w:rsidP="00760DD9">
      <w:pPr>
        <w:rPr>
          <w:lang w:val="en-US"/>
        </w:rPr>
      </w:pPr>
      <w:r w:rsidRPr="00670221">
        <w:rPr>
          <w:lang w:val="en-US"/>
        </w:rPr>
        <w:t>While a 50% reduction in operational hours may seem extreme, it is realistic given the variability in renewable energy capacity factors. Offshore wind in Europe typically has a 30% capacity factor, onshore wind around 20%, and solar PV averages 10% (Bolson et al., 2022).</w:t>
      </w:r>
      <w:r w:rsidR="0073710C" w:rsidRPr="00670221">
        <w:rPr>
          <w:lang w:val="en-US"/>
        </w:rPr>
        <w:t xml:space="preserve"> These figures are European averages, and higher capacity factors do exist in certain regions with more favorable wind or solar conditions. Yet, even when integrating these renewable sources into a hybrid energy system, projecting DAC facilities to operate for 4,000 hours annually may still be an optimistic estimate.</w:t>
      </w:r>
    </w:p>
    <w:p w14:paraId="3904624C" w14:textId="77777777" w:rsidR="00760DD9" w:rsidRPr="00670221" w:rsidRDefault="00760DD9" w:rsidP="006A25D1">
      <w:pPr>
        <w:rPr>
          <w:lang w:val="en-US"/>
        </w:rPr>
      </w:pPr>
    </w:p>
    <w:p w14:paraId="67658873" w14:textId="410B1C23" w:rsidR="00BE15BB" w:rsidRPr="00670221" w:rsidRDefault="00C20C80" w:rsidP="00085108">
      <w:pPr>
        <w:pStyle w:val="Heading3"/>
      </w:pPr>
      <w:bookmarkStart w:id="110" w:name="_Toc184403461"/>
      <w:r w:rsidRPr="00670221">
        <w:lastRenderedPageBreak/>
        <w:t xml:space="preserve">Levelized cost of </w:t>
      </w:r>
      <w:proofErr w:type="spellStart"/>
      <w:r w:rsidRPr="00670221">
        <w:t>eSAF</w:t>
      </w:r>
      <w:bookmarkEnd w:id="110"/>
      <w:proofErr w:type="spellEnd"/>
    </w:p>
    <w:p w14:paraId="3E4007AF" w14:textId="45965AD1" w:rsidR="00AD5817" w:rsidRPr="00670221" w:rsidRDefault="00EA3DED" w:rsidP="00AD5817">
      <w:pPr>
        <w:rPr>
          <w:lang w:val="en-US"/>
        </w:rPr>
      </w:pPr>
      <w:r w:rsidRPr="00670221">
        <w:rPr>
          <w:lang w:val="en-US"/>
        </w:rPr>
        <w:t>The table below outlines the economic parameters used in the sensitivity analysis. Electricity prices were selected based on values reported in the literature and are sufficiently varied to show their impact on costs. Discount rates of 6% and 10% were used to reflect common values for renewable energy projects and higher-risk electrolysis and CCS projects, respectively (</w:t>
      </w:r>
      <w:r w:rsidR="00191424" w:rsidRPr="00670221">
        <w:rPr>
          <w:lang w:val="en-US"/>
        </w:rPr>
        <w:t xml:space="preserve">Burchardt et al., 2023; </w:t>
      </w:r>
      <w:r w:rsidR="00935A60" w:rsidRPr="00670221">
        <w:rPr>
          <w:lang w:val="en-US"/>
        </w:rPr>
        <w:t>Irena, 2020</w:t>
      </w:r>
      <w:r w:rsidR="00191424" w:rsidRPr="00670221">
        <w:rPr>
          <w:lang w:val="en-US"/>
        </w:rPr>
        <w:t>)</w:t>
      </w:r>
      <w:r w:rsidR="00894AE4" w:rsidRPr="00670221">
        <w:rPr>
          <w:lang w:val="en-US"/>
        </w:rPr>
        <w:t>.</w:t>
      </w:r>
    </w:p>
    <w:tbl>
      <w:tblPr>
        <w:tblStyle w:val="TableGrid"/>
        <w:tblW w:w="5000" w:type="pct"/>
        <w:tblLook w:val="04A0" w:firstRow="1" w:lastRow="0" w:firstColumn="1" w:lastColumn="0" w:noHBand="0" w:noVBand="1"/>
      </w:tblPr>
      <w:tblGrid>
        <w:gridCol w:w="1127"/>
        <w:gridCol w:w="1127"/>
        <w:gridCol w:w="1127"/>
        <w:gridCol w:w="1127"/>
        <w:gridCol w:w="1127"/>
        <w:gridCol w:w="1127"/>
        <w:gridCol w:w="1127"/>
        <w:gridCol w:w="1127"/>
      </w:tblGrid>
      <w:tr w:rsidR="00C20C80" w:rsidRPr="00670221" w14:paraId="7BAC5893" w14:textId="77777777" w:rsidTr="00C20C80">
        <w:trPr>
          <w:trHeight w:val="227"/>
        </w:trPr>
        <w:tc>
          <w:tcPr>
            <w:tcW w:w="625" w:type="pct"/>
          </w:tcPr>
          <w:p w14:paraId="05202CA0" w14:textId="77777777" w:rsidR="00C20C80" w:rsidRPr="00670221" w:rsidRDefault="00C20C80" w:rsidP="00C20C80">
            <w:pPr>
              <w:rPr>
                <w:sz w:val="20"/>
                <w:szCs w:val="20"/>
                <w:lang w:val="en-US"/>
              </w:rPr>
            </w:pPr>
            <w:r w:rsidRPr="00670221">
              <w:rPr>
                <w:sz w:val="20"/>
                <w:szCs w:val="20"/>
                <w:lang w:val="en-US"/>
              </w:rPr>
              <w:t>Parameter</w:t>
            </w:r>
          </w:p>
        </w:tc>
        <w:tc>
          <w:tcPr>
            <w:tcW w:w="625" w:type="pct"/>
          </w:tcPr>
          <w:p w14:paraId="3E5CB3DE" w14:textId="77777777" w:rsidR="00C20C80" w:rsidRPr="00670221" w:rsidRDefault="00C20C80" w:rsidP="00C20C80">
            <w:pPr>
              <w:rPr>
                <w:sz w:val="20"/>
                <w:szCs w:val="20"/>
                <w:lang w:val="en-US"/>
              </w:rPr>
            </w:pPr>
            <w:r w:rsidRPr="00670221">
              <w:rPr>
                <w:sz w:val="20"/>
                <w:szCs w:val="20"/>
                <w:lang w:val="en-US"/>
              </w:rPr>
              <w:t>Unit</w:t>
            </w:r>
          </w:p>
        </w:tc>
        <w:tc>
          <w:tcPr>
            <w:tcW w:w="625" w:type="pct"/>
          </w:tcPr>
          <w:p w14:paraId="056D18E7" w14:textId="77777777" w:rsidR="00C20C80" w:rsidRPr="00670221" w:rsidRDefault="00C20C80" w:rsidP="00C20C80">
            <w:pPr>
              <w:rPr>
                <w:sz w:val="20"/>
                <w:szCs w:val="20"/>
                <w:lang w:val="en-US"/>
              </w:rPr>
            </w:pPr>
            <w:r w:rsidRPr="00670221">
              <w:rPr>
                <w:sz w:val="20"/>
                <w:szCs w:val="20"/>
                <w:lang w:val="en-US"/>
              </w:rPr>
              <w:t>Base Case</w:t>
            </w:r>
          </w:p>
        </w:tc>
        <w:tc>
          <w:tcPr>
            <w:tcW w:w="625" w:type="pct"/>
          </w:tcPr>
          <w:p w14:paraId="3841C763" w14:textId="2C85A027" w:rsidR="00C20C80" w:rsidRPr="00670221" w:rsidRDefault="00C20C80" w:rsidP="00C20C80">
            <w:pPr>
              <w:rPr>
                <w:sz w:val="20"/>
                <w:szCs w:val="20"/>
                <w:lang w:val="en-US"/>
              </w:rPr>
            </w:pPr>
            <w:r w:rsidRPr="00670221">
              <w:rPr>
                <w:sz w:val="20"/>
                <w:szCs w:val="20"/>
                <w:lang w:val="en-US"/>
              </w:rPr>
              <w:t xml:space="preserve">Upper Bound </w:t>
            </w:r>
            <w:r w:rsidR="00D224F2" w:rsidRPr="00670221">
              <w:rPr>
                <w:sz w:val="20"/>
                <w:szCs w:val="20"/>
                <w:lang w:val="en-US"/>
              </w:rPr>
              <w:t>E</w:t>
            </w:r>
            <w:r w:rsidRPr="00670221">
              <w:rPr>
                <w:sz w:val="20"/>
                <w:szCs w:val="20"/>
                <w:lang w:val="en-US"/>
              </w:rPr>
              <w:t>lectricity</w:t>
            </w:r>
          </w:p>
        </w:tc>
        <w:tc>
          <w:tcPr>
            <w:tcW w:w="625" w:type="pct"/>
          </w:tcPr>
          <w:p w14:paraId="4E8AFCFA" w14:textId="77777777" w:rsidR="00C20C80" w:rsidRPr="00670221" w:rsidRDefault="00C20C80" w:rsidP="00C20C80">
            <w:pPr>
              <w:rPr>
                <w:sz w:val="20"/>
                <w:szCs w:val="20"/>
                <w:lang w:val="en-US"/>
              </w:rPr>
            </w:pPr>
            <w:r w:rsidRPr="00670221">
              <w:rPr>
                <w:sz w:val="20"/>
                <w:szCs w:val="20"/>
                <w:lang w:val="en-US"/>
              </w:rPr>
              <w:t>Lower Bound Electricity</w:t>
            </w:r>
          </w:p>
        </w:tc>
        <w:tc>
          <w:tcPr>
            <w:tcW w:w="625" w:type="pct"/>
          </w:tcPr>
          <w:p w14:paraId="4517DEC2" w14:textId="2B019A6B" w:rsidR="00C20C80" w:rsidRPr="00670221" w:rsidRDefault="00C20C80" w:rsidP="00C20C80">
            <w:pPr>
              <w:rPr>
                <w:sz w:val="20"/>
                <w:szCs w:val="20"/>
                <w:lang w:val="en-US"/>
              </w:rPr>
            </w:pPr>
            <w:r w:rsidRPr="00670221">
              <w:rPr>
                <w:sz w:val="20"/>
                <w:szCs w:val="20"/>
                <w:lang w:val="en-US"/>
              </w:rPr>
              <w:t>Upper Bound WACC</w:t>
            </w:r>
          </w:p>
        </w:tc>
        <w:tc>
          <w:tcPr>
            <w:tcW w:w="625" w:type="pct"/>
          </w:tcPr>
          <w:p w14:paraId="3FC98D72" w14:textId="1137DE8B" w:rsidR="00C20C80" w:rsidRPr="00670221" w:rsidRDefault="00C20C80" w:rsidP="00C20C80">
            <w:pPr>
              <w:rPr>
                <w:sz w:val="20"/>
                <w:szCs w:val="20"/>
                <w:lang w:val="en-US"/>
              </w:rPr>
            </w:pPr>
            <w:r w:rsidRPr="00670221">
              <w:rPr>
                <w:sz w:val="20"/>
                <w:szCs w:val="20"/>
                <w:lang w:val="en-US"/>
              </w:rPr>
              <w:t>Lower Bound WACC</w:t>
            </w:r>
          </w:p>
        </w:tc>
        <w:tc>
          <w:tcPr>
            <w:tcW w:w="625" w:type="pct"/>
          </w:tcPr>
          <w:p w14:paraId="2896DE33" w14:textId="2CD81F27" w:rsidR="00C20C80" w:rsidRPr="00670221" w:rsidRDefault="00C20C80" w:rsidP="00C20C80">
            <w:pPr>
              <w:rPr>
                <w:sz w:val="20"/>
                <w:szCs w:val="20"/>
                <w:lang w:val="en-US"/>
              </w:rPr>
            </w:pPr>
            <w:r w:rsidRPr="00670221">
              <w:rPr>
                <w:sz w:val="20"/>
                <w:szCs w:val="20"/>
                <w:lang w:val="en-US"/>
              </w:rPr>
              <w:t xml:space="preserve">4000 </w:t>
            </w:r>
            <w:proofErr w:type="spellStart"/>
            <w:r w:rsidRPr="00670221">
              <w:rPr>
                <w:sz w:val="20"/>
                <w:szCs w:val="20"/>
                <w:lang w:val="en-US"/>
              </w:rPr>
              <w:t>Operatio-nal</w:t>
            </w:r>
            <w:proofErr w:type="spellEnd"/>
            <w:r w:rsidRPr="00670221">
              <w:rPr>
                <w:sz w:val="20"/>
                <w:szCs w:val="20"/>
                <w:lang w:val="en-US"/>
              </w:rPr>
              <w:t xml:space="preserve"> Hours</w:t>
            </w:r>
          </w:p>
        </w:tc>
      </w:tr>
      <w:tr w:rsidR="00C20C80" w:rsidRPr="00670221" w14:paraId="6AB4A05E" w14:textId="77777777" w:rsidTr="00C20C80">
        <w:trPr>
          <w:trHeight w:val="227"/>
        </w:trPr>
        <w:tc>
          <w:tcPr>
            <w:tcW w:w="625" w:type="pct"/>
          </w:tcPr>
          <w:p w14:paraId="1DCF0201" w14:textId="77777777" w:rsidR="00C20C80" w:rsidRPr="00670221" w:rsidRDefault="00C20C80" w:rsidP="00C20C80">
            <w:pPr>
              <w:rPr>
                <w:sz w:val="20"/>
                <w:szCs w:val="20"/>
                <w:lang w:val="en-US"/>
              </w:rPr>
            </w:pPr>
            <w:r w:rsidRPr="00670221">
              <w:rPr>
                <w:sz w:val="20"/>
                <w:szCs w:val="20"/>
                <w:lang w:val="en-US"/>
              </w:rPr>
              <w:t>Electricity price</w:t>
            </w:r>
          </w:p>
        </w:tc>
        <w:tc>
          <w:tcPr>
            <w:tcW w:w="625" w:type="pct"/>
          </w:tcPr>
          <w:p w14:paraId="298CAAEB" w14:textId="77777777" w:rsidR="00C20C80" w:rsidRPr="00670221" w:rsidRDefault="00C20C80" w:rsidP="00C20C80">
            <w:pPr>
              <w:spacing w:line="480" w:lineRule="auto"/>
              <w:rPr>
                <w:sz w:val="20"/>
                <w:szCs w:val="20"/>
                <w:lang w:val="en-US"/>
              </w:rPr>
            </w:pPr>
            <w:r w:rsidRPr="00670221">
              <w:rPr>
                <w:sz w:val="20"/>
                <w:szCs w:val="20"/>
                <w:lang w:val="en-US"/>
              </w:rPr>
              <w:t>€/</w:t>
            </w:r>
            <w:proofErr w:type="spellStart"/>
            <w:r w:rsidRPr="00670221">
              <w:rPr>
                <w:sz w:val="20"/>
                <w:szCs w:val="20"/>
                <w:lang w:val="en-US"/>
              </w:rPr>
              <w:t>MWhel</w:t>
            </w:r>
            <w:proofErr w:type="spellEnd"/>
          </w:p>
        </w:tc>
        <w:tc>
          <w:tcPr>
            <w:tcW w:w="625" w:type="pct"/>
          </w:tcPr>
          <w:p w14:paraId="1485C8F3" w14:textId="77777777" w:rsidR="00C20C80" w:rsidRPr="00670221" w:rsidRDefault="00C20C80" w:rsidP="00C20C80">
            <w:pPr>
              <w:rPr>
                <w:sz w:val="20"/>
                <w:szCs w:val="20"/>
                <w:lang w:val="en-US"/>
              </w:rPr>
            </w:pPr>
            <w:r w:rsidRPr="00670221">
              <w:rPr>
                <w:sz w:val="20"/>
                <w:szCs w:val="20"/>
                <w:lang w:val="en-US"/>
              </w:rPr>
              <w:t>60</w:t>
            </w:r>
          </w:p>
        </w:tc>
        <w:tc>
          <w:tcPr>
            <w:tcW w:w="625" w:type="pct"/>
          </w:tcPr>
          <w:p w14:paraId="5F719540" w14:textId="77777777" w:rsidR="00C20C80" w:rsidRPr="00670221" w:rsidRDefault="00C20C80" w:rsidP="00C20C80">
            <w:pPr>
              <w:rPr>
                <w:b/>
                <w:bCs/>
                <w:sz w:val="20"/>
                <w:szCs w:val="20"/>
                <w:lang w:val="en-US"/>
              </w:rPr>
            </w:pPr>
            <w:r w:rsidRPr="00670221">
              <w:rPr>
                <w:b/>
                <w:bCs/>
                <w:sz w:val="20"/>
                <w:szCs w:val="20"/>
                <w:lang w:val="en-US"/>
              </w:rPr>
              <w:t>80</w:t>
            </w:r>
          </w:p>
        </w:tc>
        <w:tc>
          <w:tcPr>
            <w:tcW w:w="625" w:type="pct"/>
          </w:tcPr>
          <w:p w14:paraId="23779FE1" w14:textId="77777777" w:rsidR="00C20C80" w:rsidRPr="00670221" w:rsidRDefault="00C20C80" w:rsidP="00C20C80">
            <w:pPr>
              <w:rPr>
                <w:b/>
                <w:bCs/>
                <w:sz w:val="20"/>
                <w:szCs w:val="20"/>
                <w:lang w:val="en-US"/>
              </w:rPr>
            </w:pPr>
            <w:r w:rsidRPr="00670221">
              <w:rPr>
                <w:b/>
                <w:bCs/>
                <w:sz w:val="20"/>
                <w:szCs w:val="20"/>
                <w:lang w:val="en-US"/>
              </w:rPr>
              <w:t>40</w:t>
            </w:r>
          </w:p>
        </w:tc>
        <w:tc>
          <w:tcPr>
            <w:tcW w:w="625" w:type="pct"/>
          </w:tcPr>
          <w:p w14:paraId="3F3D363B" w14:textId="77777777" w:rsidR="00C20C80" w:rsidRPr="00670221" w:rsidRDefault="00C20C80" w:rsidP="00C20C80">
            <w:pPr>
              <w:rPr>
                <w:sz w:val="20"/>
                <w:szCs w:val="20"/>
                <w:lang w:val="en-US"/>
              </w:rPr>
            </w:pPr>
            <w:r w:rsidRPr="00670221">
              <w:rPr>
                <w:sz w:val="20"/>
                <w:szCs w:val="20"/>
                <w:lang w:val="en-US"/>
              </w:rPr>
              <w:t>60</w:t>
            </w:r>
          </w:p>
        </w:tc>
        <w:tc>
          <w:tcPr>
            <w:tcW w:w="625" w:type="pct"/>
          </w:tcPr>
          <w:p w14:paraId="2A5657D1" w14:textId="77777777" w:rsidR="00C20C80" w:rsidRPr="00670221" w:rsidRDefault="00C20C80" w:rsidP="00C20C80">
            <w:pPr>
              <w:rPr>
                <w:sz w:val="20"/>
                <w:szCs w:val="20"/>
                <w:lang w:val="en-US"/>
              </w:rPr>
            </w:pPr>
            <w:r w:rsidRPr="00670221">
              <w:rPr>
                <w:sz w:val="20"/>
                <w:szCs w:val="20"/>
                <w:lang w:val="en-US"/>
              </w:rPr>
              <w:t>60</w:t>
            </w:r>
          </w:p>
        </w:tc>
        <w:tc>
          <w:tcPr>
            <w:tcW w:w="625" w:type="pct"/>
          </w:tcPr>
          <w:p w14:paraId="5E503F2E" w14:textId="7A2FF082" w:rsidR="00C20C80" w:rsidRPr="00670221" w:rsidRDefault="00C20C80" w:rsidP="00C20C80">
            <w:pPr>
              <w:rPr>
                <w:sz w:val="20"/>
                <w:szCs w:val="20"/>
                <w:lang w:val="en-US"/>
              </w:rPr>
            </w:pPr>
            <w:r w:rsidRPr="00670221">
              <w:rPr>
                <w:sz w:val="20"/>
                <w:szCs w:val="20"/>
                <w:lang w:val="en-US"/>
              </w:rPr>
              <w:t>60</w:t>
            </w:r>
          </w:p>
        </w:tc>
      </w:tr>
      <w:tr w:rsidR="00C20C80" w:rsidRPr="00670221" w14:paraId="64A8D481" w14:textId="77777777" w:rsidTr="00C20C80">
        <w:trPr>
          <w:trHeight w:val="227"/>
        </w:trPr>
        <w:tc>
          <w:tcPr>
            <w:tcW w:w="625" w:type="pct"/>
          </w:tcPr>
          <w:p w14:paraId="2E792F16" w14:textId="06E99584" w:rsidR="00C20C80" w:rsidRPr="00670221" w:rsidRDefault="00C20C80" w:rsidP="00C20C80">
            <w:pPr>
              <w:rPr>
                <w:sz w:val="20"/>
                <w:szCs w:val="20"/>
                <w:lang w:val="en-US"/>
              </w:rPr>
            </w:pPr>
            <w:r w:rsidRPr="00670221">
              <w:rPr>
                <w:sz w:val="20"/>
                <w:szCs w:val="20"/>
                <w:lang w:val="en-US"/>
              </w:rPr>
              <w:t>WACC</w:t>
            </w:r>
          </w:p>
        </w:tc>
        <w:tc>
          <w:tcPr>
            <w:tcW w:w="625" w:type="pct"/>
          </w:tcPr>
          <w:p w14:paraId="7A1018E9" w14:textId="55BAE0CD" w:rsidR="00C20C80" w:rsidRPr="00670221" w:rsidRDefault="00C20C80" w:rsidP="00C20C80">
            <w:pPr>
              <w:rPr>
                <w:sz w:val="20"/>
                <w:szCs w:val="20"/>
                <w:lang w:val="en-US"/>
              </w:rPr>
            </w:pPr>
            <w:r w:rsidRPr="00670221">
              <w:rPr>
                <w:sz w:val="20"/>
                <w:szCs w:val="20"/>
                <w:lang w:val="en-US"/>
              </w:rPr>
              <w:t>%</w:t>
            </w:r>
          </w:p>
        </w:tc>
        <w:tc>
          <w:tcPr>
            <w:tcW w:w="625" w:type="pct"/>
          </w:tcPr>
          <w:p w14:paraId="56988C24" w14:textId="5AC960AE" w:rsidR="00C20C80" w:rsidRPr="00670221" w:rsidRDefault="00C20C80" w:rsidP="00C20C80">
            <w:pPr>
              <w:rPr>
                <w:sz w:val="20"/>
                <w:szCs w:val="20"/>
                <w:lang w:val="en-US"/>
              </w:rPr>
            </w:pPr>
            <w:r w:rsidRPr="00670221">
              <w:rPr>
                <w:sz w:val="20"/>
                <w:szCs w:val="20"/>
                <w:lang w:val="en-US"/>
              </w:rPr>
              <w:t>8</w:t>
            </w:r>
          </w:p>
        </w:tc>
        <w:tc>
          <w:tcPr>
            <w:tcW w:w="625" w:type="pct"/>
          </w:tcPr>
          <w:p w14:paraId="3B764962" w14:textId="5368BCE0" w:rsidR="00C20C80" w:rsidRPr="00670221" w:rsidRDefault="00C20C80" w:rsidP="00C20C80">
            <w:pPr>
              <w:rPr>
                <w:sz w:val="20"/>
                <w:szCs w:val="20"/>
                <w:lang w:val="en-US"/>
              </w:rPr>
            </w:pPr>
            <w:r w:rsidRPr="00670221">
              <w:rPr>
                <w:sz w:val="20"/>
                <w:szCs w:val="20"/>
                <w:lang w:val="en-US"/>
              </w:rPr>
              <w:t>8</w:t>
            </w:r>
          </w:p>
        </w:tc>
        <w:tc>
          <w:tcPr>
            <w:tcW w:w="625" w:type="pct"/>
          </w:tcPr>
          <w:p w14:paraId="43EA0466" w14:textId="7611A5AA" w:rsidR="00C20C80" w:rsidRPr="00670221" w:rsidRDefault="00C20C80" w:rsidP="00C20C80">
            <w:pPr>
              <w:rPr>
                <w:sz w:val="20"/>
                <w:szCs w:val="20"/>
                <w:lang w:val="en-US"/>
              </w:rPr>
            </w:pPr>
            <w:r w:rsidRPr="00670221">
              <w:rPr>
                <w:sz w:val="20"/>
                <w:szCs w:val="20"/>
                <w:lang w:val="en-US"/>
              </w:rPr>
              <w:t>8</w:t>
            </w:r>
          </w:p>
        </w:tc>
        <w:tc>
          <w:tcPr>
            <w:tcW w:w="625" w:type="pct"/>
          </w:tcPr>
          <w:p w14:paraId="03B7A80E" w14:textId="28D7D416" w:rsidR="00C20C80" w:rsidRPr="00670221" w:rsidRDefault="00DB752F" w:rsidP="00C20C80">
            <w:pPr>
              <w:rPr>
                <w:b/>
                <w:bCs/>
                <w:sz w:val="20"/>
                <w:szCs w:val="20"/>
                <w:lang w:val="en-US"/>
              </w:rPr>
            </w:pPr>
            <w:r w:rsidRPr="00670221">
              <w:rPr>
                <w:b/>
                <w:bCs/>
                <w:sz w:val="20"/>
                <w:szCs w:val="20"/>
                <w:lang w:val="en-US"/>
              </w:rPr>
              <w:t>10</w:t>
            </w:r>
          </w:p>
        </w:tc>
        <w:tc>
          <w:tcPr>
            <w:tcW w:w="625" w:type="pct"/>
          </w:tcPr>
          <w:p w14:paraId="37B6E340" w14:textId="718390B6" w:rsidR="00DB752F" w:rsidRPr="00670221" w:rsidRDefault="00DB752F" w:rsidP="00C20C80">
            <w:pPr>
              <w:rPr>
                <w:b/>
                <w:bCs/>
                <w:sz w:val="20"/>
                <w:szCs w:val="20"/>
                <w:lang w:val="en-US"/>
              </w:rPr>
            </w:pPr>
            <w:r w:rsidRPr="00670221">
              <w:rPr>
                <w:b/>
                <w:bCs/>
                <w:sz w:val="20"/>
                <w:szCs w:val="20"/>
                <w:lang w:val="en-US"/>
              </w:rPr>
              <w:t>6</w:t>
            </w:r>
          </w:p>
        </w:tc>
        <w:tc>
          <w:tcPr>
            <w:tcW w:w="625" w:type="pct"/>
          </w:tcPr>
          <w:p w14:paraId="30843C2A" w14:textId="0C0ACCFE" w:rsidR="00C20C80" w:rsidRPr="00670221" w:rsidRDefault="00C20C80" w:rsidP="00C20C80">
            <w:pPr>
              <w:rPr>
                <w:sz w:val="20"/>
                <w:szCs w:val="20"/>
                <w:lang w:val="en-US"/>
              </w:rPr>
            </w:pPr>
            <w:r w:rsidRPr="00670221">
              <w:rPr>
                <w:sz w:val="20"/>
                <w:szCs w:val="20"/>
                <w:lang w:val="en-US"/>
              </w:rPr>
              <w:t>8</w:t>
            </w:r>
          </w:p>
        </w:tc>
      </w:tr>
      <w:tr w:rsidR="00C20C80" w:rsidRPr="00670221" w14:paraId="5317122B" w14:textId="77777777" w:rsidTr="00C20C80">
        <w:trPr>
          <w:trHeight w:val="227"/>
        </w:trPr>
        <w:tc>
          <w:tcPr>
            <w:tcW w:w="625" w:type="pct"/>
          </w:tcPr>
          <w:p w14:paraId="4A44D1C1" w14:textId="77777777" w:rsidR="00C20C80" w:rsidRPr="00670221" w:rsidRDefault="00C20C80" w:rsidP="00C20C80">
            <w:pPr>
              <w:rPr>
                <w:sz w:val="20"/>
                <w:szCs w:val="20"/>
                <w:lang w:val="en-US"/>
              </w:rPr>
            </w:pPr>
            <w:r w:rsidRPr="00670221">
              <w:rPr>
                <w:sz w:val="20"/>
                <w:szCs w:val="20"/>
                <w:lang w:val="en-US"/>
              </w:rPr>
              <w:t>Run time</w:t>
            </w:r>
          </w:p>
        </w:tc>
        <w:tc>
          <w:tcPr>
            <w:tcW w:w="625" w:type="pct"/>
          </w:tcPr>
          <w:p w14:paraId="4D2FC037" w14:textId="77777777" w:rsidR="00C20C80" w:rsidRPr="00670221" w:rsidRDefault="00C20C80" w:rsidP="00C20C80">
            <w:pPr>
              <w:rPr>
                <w:sz w:val="20"/>
                <w:szCs w:val="20"/>
                <w:lang w:val="en-US"/>
              </w:rPr>
            </w:pPr>
            <w:r w:rsidRPr="00670221">
              <w:rPr>
                <w:sz w:val="20"/>
                <w:szCs w:val="20"/>
                <w:lang w:val="en-US"/>
              </w:rPr>
              <w:t>Hours per year</w:t>
            </w:r>
          </w:p>
        </w:tc>
        <w:tc>
          <w:tcPr>
            <w:tcW w:w="625" w:type="pct"/>
          </w:tcPr>
          <w:p w14:paraId="3BEDD56C" w14:textId="77777777" w:rsidR="00C20C80" w:rsidRPr="00670221" w:rsidRDefault="00C20C80" w:rsidP="00C20C80">
            <w:pPr>
              <w:rPr>
                <w:sz w:val="20"/>
                <w:szCs w:val="20"/>
                <w:lang w:val="en-US"/>
              </w:rPr>
            </w:pPr>
            <w:r w:rsidRPr="00670221">
              <w:rPr>
                <w:sz w:val="20"/>
                <w:szCs w:val="20"/>
                <w:lang w:val="en-US"/>
              </w:rPr>
              <w:t>8000</w:t>
            </w:r>
          </w:p>
        </w:tc>
        <w:tc>
          <w:tcPr>
            <w:tcW w:w="625" w:type="pct"/>
          </w:tcPr>
          <w:p w14:paraId="52C9CE41" w14:textId="77777777" w:rsidR="00C20C80" w:rsidRPr="00670221" w:rsidRDefault="00C20C80" w:rsidP="00C20C80">
            <w:pPr>
              <w:rPr>
                <w:sz w:val="20"/>
                <w:szCs w:val="20"/>
                <w:lang w:val="en-US"/>
              </w:rPr>
            </w:pPr>
            <w:r w:rsidRPr="00670221">
              <w:rPr>
                <w:sz w:val="20"/>
                <w:szCs w:val="20"/>
                <w:lang w:val="en-US"/>
              </w:rPr>
              <w:t>8000</w:t>
            </w:r>
          </w:p>
        </w:tc>
        <w:tc>
          <w:tcPr>
            <w:tcW w:w="625" w:type="pct"/>
          </w:tcPr>
          <w:p w14:paraId="22FA7C37" w14:textId="77777777" w:rsidR="00C20C80" w:rsidRPr="00670221" w:rsidRDefault="00C20C80" w:rsidP="00C20C80">
            <w:pPr>
              <w:rPr>
                <w:sz w:val="20"/>
                <w:szCs w:val="20"/>
                <w:lang w:val="en-US"/>
              </w:rPr>
            </w:pPr>
            <w:r w:rsidRPr="00670221">
              <w:rPr>
                <w:sz w:val="20"/>
                <w:szCs w:val="20"/>
                <w:lang w:val="en-US"/>
              </w:rPr>
              <w:t>8000</w:t>
            </w:r>
          </w:p>
        </w:tc>
        <w:tc>
          <w:tcPr>
            <w:tcW w:w="625" w:type="pct"/>
          </w:tcPr>
          <w:p w14:paraId="7E7C1355" w14:textId="77777777" w:rsidR="00C20C80" w:rsidRPr="00670221" w:rsidRDefault="00C20C80" w:rsidP="00C20C80">
            <w:pPr>
              <w:rPr>
                <w:sz w:val="20"/>
                <w:szCs w:val="20"/>
                <w:lang w:val="en-US"/>
              </w:rPr>
            </w:pPr>
            <w:r w:rsidRPr="00670221">
              <w:rPr>
                <w:sz w:val="20"/>
                <w:szCs w:val="20"/>
                <w:lang w:val="en-US"/>
              </w:rPr>
              <w:t>8000</w:t>
            </w:r>
          </w:p>
        </w:tc>
        <w:tc>
          <w:tcPr>
            <w:tcW w:w="625" w:type="pct"/>
          </w:tcPr>
          <w:p w14:paraId="78FE9D69" w14:textId="77777777" w:rsidR="00C20C80" w:rsidRPr="00670221" w:rsidRDefault="00C20C80" w:rsidP="00C20C80">
            <w:pPr>
              <w:rPr>
                <w:sz w:val="20"/>
                <w:szCs w:val="20"/>
                <w:lang w:val="en-US"/>
              </w:rPr>
            </w:pPr>
            <w:r w:rsidRPr="00670221">
              <w:rPr>
                <w:sz w:val="20"/>
                <w:szCs w:val="20"/>
                <w:lang w:val="en-US"/>
              </w:rPr>
              <w:t>8000</w:t>
            </w:r>
          </w:p>
        </w:tc>
        <w:tc>
          <w:tcPr>
            <w:tcW w:w="625" w:type="pct"/>
          </w:tcPr>
          <w:p w14:paraId="03379B1F" w14:textId="7349C878" w:rsidR="00C20C80" w:rsidRPr="00670221" w:rsidRDefault="00C20C80" w:rsidP="002E0AAA">
            <w:pPr>
              <w:keepNext/>
              <w:rPr>
                <w:b/>
                <w:bCs/>
                <w:sz w:val="20"/>
                <w:szCs w:val="20"/>
                <w:lang w:val="en-US"/>
              </w:rPr>
            </w:pPr>
            <w:r w:rsidRPr="00670221">
              <w:rPr>
                <w:b/>
                <w:bCs/>
                <w:sz w:val="20"/>
                <w:szCs w:val="20"/>
                <w:lang w:val="en-US"/>
              </w:rPr>
              <w:t>4000</w:t>
            </w:r>
          </w:p>
        </w:tc>
      </w:tr>
    </w:tbl>
    <w:p w14:paraId="3C9E4BCE" w14:textId="6BE9BAC4" w:rsidR="00C20C80" w:rsidRPr="00670221" w:rsidRDefault="002E0AAA" w:rsidP="002E0AAA">
      <w:pPr>
        <w:pStyle w:val="Caption"/>
        <w:rPr>
          <w:lang w:val="en-US"/>
        </w:rPr>
      </w:pPr>
      <w:bookmarkStart w:id="111" w:name="_Toc184403598"/>
      <w:r w:rsidRPr="00670221">
        <w:rPr>
          <w:lang w:val="en-US"/>
        </w:rPr>
        <w:t xml:space="preserve">Table </w:t>
      </w:r>
      <w:r w:rsidR="00EF60A5" w:rsidRPr="00670221">
        <w:rPr>
          <w:lang w:val="en-US"/>
        </w:rPr>
        <w:fldChar w:fldCharType="begin"/>
      </w:r>
      <w:r w:rsidR="00EF60A5" w:rsidRPr="00670221">
        <w:rPr>
          <w:lang w:val="en-US"/>
        </w:rPr>
        <w:instrText xml:space="preserve"> STYLEREF 1 \s </w:instrText>
      </w:r>
      <w:r w:rsidR="00EF60A5" w:rsidRPr="00670221">
        <w:rPr>
          <w:lang w:val="en-US"/>
        </w:rPr>
        <w:fldChar w:fldCharType="separate"/>
      </w:r>
      <w:r w:rsidR="00EF60A5" w:rsidRPr="00670221">
        <w:rPr>
          <w:lang w:val="en-US"/>
        </w:rPr>
        <w:t>4</w:t>
      </w:r>
      <w:r w:rsidR="00EF60A5" w:rsidRPr="00670221">
        <w:rPr>
          <w:lang w:val="en-US"/>
        </w:rPr>
        <w:fldChar w:fldCharType="end"/>
      </w:r>
      <w:r w:rsidR="00EF60A5" w:rsidRPr="00670221">
        <w:rPr>
          <w:lang w:val="en-US"/>
        </w:rPr>
        <w:t>.</w:t>
      </w:r>
      <w:r w:rsidR="00EF60A5" w:rsidRPr="00670221">
        <w:rPr>
          <w:lang w:val="en-US"/>
        </w:rPr>
        <w:fldChar w:fldCharType="begin"/>
      </w:r>
      <w:r w:rsidR="00EF60A5" w:rsidRPr="00670221">
        <w:rPr>
          <w:lang w:val="en-US"/>
        </w:rPr>
        <w:instrText xml:space="preserve"> SEQ Table \* ARABIC \s 1 </w:instrText>
      </w:r>
      <w:r w:rsidR="00EF60A5" w:rsidRPr="00670221">
        <w:rPr>
          <w:lang w:val="en-US"/>
        </w:rPr>
        <w:fldChar w:fldCharType="separate"/>
      </w:r>
      <w:r w:rsidR="00EF60A5" w:rsidRPr="00670221">
        <w:rPr>
          <w:lang w:val="en-US"/>
        </w:rPr>
        <w:t>9</w:t>
      </w:r>
      <w:r w:rsidR="00EF60A5" w:rsidRPr="00670221">
        <w:rPr>
          <w:lang w:val="en-US"/>
        </w:rPr>
        <w:fldChar w:fldCharType="end"/>
      </w:r>
      <w:r w:rsidRPr="00670221">
        <w:rPr>
          <w:lang w:val="en-US"/>
        </w:rPr>
        <w:t xml:space="preserve">: Parameters for the levelized cost of </w:t>
      </w:r>
      <w:proofErr w:type="spellStart"/>
      <w:r w:rsidRPr="00670221">
        <w:rPr>
          <w:lang w:val="en-US"/>
        </w:rPr>
        <w:t>eSAF</w:t>
      </w:r>
      <w:proofErr w:type="spellEnd"/>
      <w:r w:rsidRPr="00670221">
        <w:rPr>
          <w:lang w:val="en-US"/>
        </w:rPr>
        <w:t>: sensitivity analysis</w:t>
      </w:r>
      <w:bookmarkEnd w:id="111"/>
    </w:p>
    <w:p w14:paraId="487BFAD6" w14:textId="03670122" w:rsidR="00C20C80" w:rsidRPr="00670221" w:rsidRDefault="00C20C80" w:rsidP="00C20C80">
      <w:pPr>
        <w:pStyle w:val="Heading4"/>
        <w:rPr>
          <w:lang w:val="en-US"/>
        </w:rPr>
      </w:pPr>
      <w:r w:rsidRPr="00670221">
        <w:rPr>
          <w:lang w:val="en-US"/>
        </w:rPr>
        <w:t>Electricity Price</w:t>
      </w:r>
    </w:p>
    <w:p w14:paraId="4FD71FB4" w14:textId="77777777" w:rsidR="00D224F2" w:rsidRPr="00670221" w:rsidRDefault="00390A18" w:rsidP="00D224F2">
      <w:pPr>
        <w:keepNext/>
        <w:jc w:val="center"/>
        <w:rPr>
          <w:lang w:val="en-US"/>
        </w:rPr>
      </w:pPr>
      <w:r w:rsidRPr="00670221">
        <w:rPr>
          <w:noProof/>
          <w:lang w:val="en-US"/>
        </w:rPr>
        <w:drawing>
          <wp:inline distT="0" distB="0" distL="0" distR="0" wp14:anchorId="042DEFF4" wp14:editId="4D4AFA50">
            <wp:extent cx="4577369" cy="2880000"/>
            <wp:effectExtent l="0" t="0" r="0" b="3175"/>
            <wp:docPr id="1784863143" name="Picture 1" descr="A graph showing the cost of fu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63143" name="Picture 1" descr="A graph showing the cost of fuel&#10;&#10;Description automatically generated"/>
                    <pic:cNvPicPr/>
                  </pic:nvPicPr>
                  <pic:blipFill>
                    <a:blip r:embed="rId47"/>
                    <a:stretch>
                      <a:fillRect/>
                    </a:stretch>
                  </pic:blipFill>
                  <pic:spPr>
                    <a:xfrm>
                      <a:off x="0" y="0"/>
                      <a:ext cx="4577369" cy="2880000"/>
                    </a:xfrm>
                    <a:prstGeom prst="rect">
                      <a:avLst/>
                    </a:prstGeom>
                  </pic:spPr>
                </pic:pic>
              </a:graphicData>
            </a:graphic>
          </wp:inline>
        </w:drawing>
      </w:r>
    </w:p>
    <w:p w14:paraId="4193D3BB" w14:textId="5F338782" w:rsidR="00D224F2" w:rsidRPr="00670221" w:rsidRDefault="00D224F2" w:rsidP="00D224F2">
      <w:pPr>
        <w:pStyle w:val="Caption"/>
        <w:rPr>
          <w:lang w:val="en-US"/>
        </w:rPr>
      </w:pPr>
      <w:bookmarkStart w:id="112" w:name="_Toc184403565"/>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11</w:t>
      </w:r>
      <w:r w:rsidR="002A3EA2" w:rsidRPr="00670221">
        <w:rPr>
          <w:lang w:val="en-US"/>
        </w:rPr>
        <w:fldChar w:fldCharType="end"/>
      </w:r>
      <w:r w:rsidRPr="00670221">
        <w:rPr>
          <w:lang w:val="en-US"/>
        </w:rPr>
        <w:t>: Levelized cost of e</w:t>
      </w:r>
      <w:r w:rsidR="00C73C13">
        <w:rPr>
          <w:lang w:val="en-US"/>
        </w:rPr>
        <w:t>-</w:t>
      </w:r>
      <w:r w:rsidRPr="00670221">
        <w:rPr>
          <w:lang w:val="en-US"/>
        </w:rPr>
        <w:t xml:space="preserve">fuel for </w:t>
      </w:r>
      <w:r w:rsidR="00E21E8E" w:rsidRPr="00670221">
        <w:rPr>
          <w:lang w:val="en-US"/>
        </w:rPr>
        <w:t>Upper</w:t>
      </w:r>
      <w:r w:rsidRPr="00670221">
        <w:rPr>
          <w:lang w:val="en-US"/>
        </w:rPr>
        <w:t xml:space="preserve"> Bound Electricity case with </w:t>
      </w:r>
      <w:proofErr w:type="spellStart"/>
      <w:r w:rsidRPr="00670221">
        <w:rPr>
          <w:lang w:val="en-US"/>
        </w:rPr>
        <w:t>MWhel</w:t>
      </w:r>
      <w:proofErr w:type="spellEnd"/>
      <w:r w:rsidRPr="00670221">
        <w:rPr>
          <w:lang w:val="en-US"/>
        </w:rPr>
        <w:t xml:space="preserve"> = €80,00 and </w:t>
      </w:r>
      <w:proofErr w:type="spellStart"/>
      <w:r w:rsidRPr="00670221">
        <w:rPr>
          <w:lang w:val="en-US"/>
        </w:rPr>
        <w:t>MWhth</w:t>
      </w:r>
      <w:proofErr w:type="spellEnd"/>
      <w:r w:rsidRPr="00670221">
        <w:rPr>
          <w:lang w:val="en-US"/>
        </w:rPr>
        <w:t xml:space="preserve"> = €0,00</w:t>
      </w:r>
      <w:bookmarkEnd w:id="112"/>
    </w:p>
    <w:p w14:paraId="72641A98" w14:textId="77777777" w:rsidR="00D224F2" w:rsidRPr="00670221" w:rsidRDefault="002468B9" w:rsidP="00D224F2">
      <w:pPr>
        <w:keepNext/>
        <w:jc w:val="center"/>
        <w:rPr>
          <w:lang w:val="en-US"/>
        </w:rPr>
      </w:pPr>
      <w:r w:rsidRPr="00670221">
        <w:rPr>
          <w:noProof/>
          <w:lang w:val="en-US"/>
        </w:rPr>
        <w:lastRenderedPageBreak/>
        <w:drawing>
          <wp:inline distT="0" distB="0" distL="0" distR="0" wp14:anchorId="6FBE5649" wp14:editId="0E080AB3">
            <wp:extent cx="4577370" cy="2880000"/>
            <wp:effectExtent l="0" t="0" r="0" b="3175"/>
            <wp:docPr id="119216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67312" name=""/>
                    <pic:cNvPicPr/>
                  </pic:nvPicPr>
                  <pic:blipFill>
                    <a:blip r:embed="rId48"/>
                    <a:stretch>
                      <a:fillRect/>
                    </a:stretch>
                  </pic:blipFill>
                  <pic:spPr>
                    <a:xfrm>
                      <a:off x="0" y="0"/>
                      <a:ext cx="4577370" cy="2880000"/>
                    </a:xfrm>
                    <a:prstGeom prst="rect">
                      <a:avLst/>
                    </a:prstGeom>
                  </pic:spPr>
                </pic:pic>
              </a:graphicData>
            </a:graphic>
          </wp:inline>
        </w:drawing>
      </w:r>
    </w:p>
    <w:p w14:paraId="121FB095" w14:textId="37CB108F" w:rsidR="00F82668" w:rsidRPr="00670221" w:rsidRDefault="00D224F2" w:rsidP="00D224F2">
      <w:pPr>
        <w:pStyle w:val="Caption"/>
        <w:rPr>
          <w:lang w:val="en-US"/>
        </w:rPr>
      </w:pPr>
      <w:bookmarkStart w:id="113" w:name="_Toc184403566"/>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12</w:t>
      </w:r>
      <w:r w:rsidR="002A3EA2" w:rsidRPr="00670221">
        <w:rPr>
          <w:lang w:val="en-US"/>
        </w:rPr>
        <w:fldChar w:fldCharType="end"/>
      </w:r>
      <w:r w:rsidRPr="00670221">
        <w:rPr>
          <w:lang w:val="en-US"/>
        </w:rPr>
        <w:t>: Levelized cost of e</w:t>
      </w:r>
      <w:r w:rsidR="00C73C13">
        <w:rPr>
          <w:lang w:val="en-US"/>
        </w:rPr>
        <w:t>-</w:t>
      </w:r>
      <w:r w:rsidRPr="00670221">
        <w:rPr>
          <w:lang w:val="en-US"/>
        </w:rPr>
        <w:t xml:space="preserve">fuel for Lower Bound Electricity case with </w:t>
      </w:r>
      <w:proofErr w:type="spellStart"/>
      <w:r w:rsidRPr="00670221">
        <w:rPr>
          <w:lang w:val="en-US"/>
        </w:rPr>
        <w:t>MWhel</w:t>
      </w:r>
      <w:proofErr w:type="spellEnd"/>
      <w:r w:rsidRPr="00670221">
        <w:rPr>
          <w:lang w:val="en-US"/>
        </w:rPr>
        <w:t xml:space="preserve"> = €40,00 and </w:t>
      </w:r>
      <w:proofErr w:type="spellStart"/>
      <w:r w:rsidRPr="00670221">
        <w:rPr>
          <w:lang w:val="en-US"/>
        </w:rPr>
        <w:t>MWhth</w:t>
      </w:r>
      <w:proofErr w:type="spellEnd"/>
      <w:r w:rsidRPr="00670221">
        <w:rPr>
          <w:lang w:val="en-US"/>
        </w:rPr>
        <w:t xml:space="preserve"> = €0,00</w:t>
      </w:r>
      <w:bookmarkEnd w:id="113"/>
    </w:p>
    <w:p w14:paraId="7FA37B2E" w14:textId="24D0DD01" w:rsidR="00E51B53" w:rsidRPr="00670221" w:rsidRDefault="00E51B53" w:rsidP="00B76D13">
      <w:pPr>
        <w:rPr>
          <w:lang w:val="en-US"/>
        </w:rPr>
      </w:pPr>
      <w:r w:rsidRPr="00670221">
        <w:rPr>
          <w:lang w:val="en-US"/>
        </w:rPr>
        <w:t xml:space="preserve">In 2024, the </w:t>
      </w:r>
      <w:r w:rsidR="00E210B6" w:rsidRPr="00670221">
        <w:rPr>
          <w:lang w:val="en-US"/>
        </w:rPr>
        <w:t>U</w:t>
      </w:r>
      <w:r w:rsidRPr="00670221">
        <w:rPr>
          <w:lang w:val="en-US"/>
        </w:rPr>
        <w:t xml:space="preserve">pper </w:t>
      </w:r>
      <w:r w:rsidR="00E210B6" w:rsidRPr="00670221">
        <w:rPr>
          <w:lang w:val="en-US"/>
        </w:rPr>
        <w:t>Bound E</w:t>
      </w:r>
      <w:r w:rsidRPr="00670221">
        <w:rPr>
          <w:lang w:val="en-US"/>
        </w:rPr>
        <w:t xml:space="preserve">lectricity </w:t>
      </w:r>
      <w:r w:rsidR="00E210B6" w:rsidRPr="00670221">
        <w:rPr>
          <w:lang w:val="en-US"/>
        </w:rPr>
        <w:t>case</w:t>
      </w:r>
      <w:r w:rsidRPr="00670221">
        <w:rPr>
          <w:lang w:val="en-US"/>
        </w:rPr>
        <w:t xml:space="preserve"> led to costs ranging from 2.78 €/liter to 4.77 €/liter. When the electricity price </w:t>
      </w:r>
      <w:r w:rsidR="00053618" w:rsidRPr="00670221">
        <w:rPr>
          <w:lang w:val="en-US"/>
        </w:rPr>
        <w:t xml:space="preserve">was </w:t>
      </w:r>
      <w:r w:rsidRPr="00670221">
        <w:rPr>
          <w:lang w:val="en-US"/>
        </w:rPr>
        <w:t xml:space="preserve">decreased </w:t>
      </w:r>
      <w:r w:rsidR="00E210B6" w:rsidRPr="00670221">
        <w:rPr>
          <w:lang w:val="en-US"/>
        </w:rPr>
        <w:t xml:space="preserve">to </w:t>
      </w:r>
      <w:r w:rsidR="00634391">
        <w:rPr>
          <w:lang w:val="en-US"/>
        </w:rPr>
        <w:t>€</w:t>
      </w:r>
      <w:r w:rsidR="00E210B6" w:rsidRPr="00670221">
        <w:rPr>
          <w:lang w:val="en-US"/>
        </w:rPr>
        <w:t>40/MWh</w:t>
      </w:r>
      <w:r w:rsidRPr="00670221">
        <w:rPr>
          <w:lang w:val="en-US"/>
        </w:rPr>
        <w:t xml:space="preserve">, costs ranged </w:t>
      </w:r>
      <w:r w:rsidR="002D6CF0" w:rsidRPr="00670221">
        <w:rPr>
          <w:lang w:val="en-US"/>
        </w:rPr>
        <w:t>between</w:t>
      </w:r>
      <w:r w:rsidRPr="00670221">
        <w:rPr>
          <w:lang w:val="en-US"/>
        </w:rPr>
        <w:t xml:space="preserve"> 1.76 €/liter </w:t>
      </w:r>
      <w:r w:rsidR="002D6CF0" w:rsidRPr="00670221">
        <w:rPr>
          <w:lang w:val="en-US"/>
        </w:rPr>
        <w:t>and</w:t>
      </w:r>
      <w:r w:rsidRPr="00670221">
        <w:rPr>
          <w:lang w:val="en-US"/>
        </w:rPr>
        <w:t xml:space="preserve"> 3.49 €/liter, compared to our base case range of 2.27 €/liter to 4.13 €/liter. By 2050, cost</w:t>
      </w:r>
      <w:r w:rsidR="002D6CF0" w:rsidRPr="00670221">
        <w:rPr>
          <w:lang w:val="en-US"/>
        </w:rPr>
        <w:t>s</w:t>
      </w:r>
      <w:r w:rsidRPr="00670221">
        <w:rPr>
          <w:lang w:val="en-US"/>
        </w:rPr>
        <w:t xml:space="preserve"> diverged in a pattern </w:t>
      </w:r>
      <w:proofErr w:type="gramStart"/>
      <w:r w:rsidR="005C31B2" w:rsidRPr="00670221">
        <w:rPr>
          <w:lang w:val="en-US"/>
        </w:rPr>
        <w:t>similar to</w:t>
      </w:r>
      <w:proofErr w:type="gramEnd"/>
      <w:r w:rsidRPr="00670221">
        <w:rPr>
          <w:lang w:val="en-US"/>
        </w:rPr>
        <w:t xml:space="preserve"> the base case. This effect was amplified in the lower electricity price scenario and reduced in the higher price scenario, as also indicated by the shift of the intersection point between the dark (PEM + RWGS + FT + DAC) and light blue (Sunfire SOE + FT + BIO) lines.</w:t>
      </w:r>
      <w:r w:rsidR="00031466" w:rsidRPr="00670221">
        <w:rPr>
          <w:lang w:val="en-US"/>
        </w:rPr>
        <w:t xml:space="preserve"> When looking out to 2050, a higher electricity price resulted in costs per liter ranging from 2.18 €/liter to 2.61 €/liter, while the lower bound electricity price led to costs between 1.31 €/liter and 1.55 €/liter.</w:t>
      </w:r>
    </w:p>
    <w:p w14:paraId="5C951369" w14:textId="0AEC0863" w:rsidR="009214E2" w:rsidRPr="00670221" w:rsidRDefault="00BE15BB" w:rsidP="00DB752F">
      <w:pPr>
        <w:pStyle w:val="Heading4"/>
        <w:rPr>
          <w:lang w:val="en-US"/>
        </w:rPr>
      </w:pPr>
      <w:r w:rsidRPr="00670221">
        <w:rPr>
          <w:lang w:val="en-US"/>
        </w:rPr>
        <w:lastRenderedPageBreak/>
        <w:t>W</w:t>
      </w:r>
      <w:r w:rsidR="00D32A77" w:rsidRPr="00670221">
        <w:rPr>
          <w:lang w:val="en-US"/>
        </w:rPr>
        <w:t>eighted</w:t>
      </w:r>
      <w:r w:rsidR="00CC259A" w:rsidRPr="00670221">
        <w:rPr>
          <w:lang w:val="en-US"/>
        </w:rPr>
        <w:t xml:space="preserve"> Average Cost of Capital</w:t>
      </w:r>
    </w:p>
    <w:p w14:paraId="666E6F87" w14:textId="77777777" w:rsidR="00A646D7" w:rsidRPr="00670221" w:rsidRDefault="00A646D7" w:rsidP="00A646D7">
      <w:pPr>
        <w:keepNext/>
        <w:jc w:val="center"/>
        <w:rPr>
          <w:lang w:val="en-US"/>
        </w:rPr>
      </w:pPr>
      <w:r w:rsidRPr="00670221">
        <w:rPr>
          <w:noProof/>
          <w:lang w:val="en-US"/>
        </w:rPr>
        <w:drawing>
          <wp:inline distT="0" distB="0" distL="0" distR="0" wp14:anchorId="12FA32DD" wp14:editId="237E0E58">
            <wp:extent cx="4572000" cy="3249939"/>
            <wp:effectExtent l="0" t="0" r="0" b="1270"/>
            <wp:docPr id="84166607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66070" name="Picture 1" descr="A graph of different colored lines&#10;&#10;Description automatically generated"/>
                    <pic:cNvPicPr/>
                  </pic:nvPicPr>
                  <pic:blipFill>
                    <a:blip r:embed="rId49"/>
                    <a:stretch>
                      <a:fillRect/>
                    </a:stretch>
                  </pic:blipFill>
                  <pic:spPr>
                    <a:xfrm>
                      <a:off x="0" y="0"/>
                      <a:ext cx="4572000" cy="3249939"/>
                    </a:xfrm>
                    <a:prstGeom prst="rect">
                      <a:avLst/>
                    </a:prstGeom>
                  </pic:spPr>
                </pic:pic>
              </a:graphicData>
            </a:graphic>
          </wp:inline>
        </w:drawing>
      </w:r>
    </w:p>
    <w:p w14:paraId="35B97BBD" w14:textId="04471EFC" w:rsidR="00A646D7" w:rsidRPr="00670221" w:rsidRDefault="00A646D7" w:rsidP="00A646D7">
      <w:pPr>
        <w:pStyle w:val="Caption"/>
        <w:rPr>
          <w:lang w:val="en-US"/>
        </w:rPr>
      </w:pPr>
      <w:bookmarkStart w:id="114" w:name="_Toc184403567"/>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13</w:t>
      </w:r>
      <w:r w:rsidR="002A3EA2" w:rsidRPr="00670221">
        <w:rPr>
          <w:lang w:val="en-US"/>
        </w:rPr>
        <w:fldChar w:fldCharType="end"/>
      </w:r>
      <w:r w:rsidRPr="00670221">
        <w:rPr>
          <w:lang w:val="en-US"/>
        </w:rPr>
        <w:t>: Levelized cost of e</w:t>
      </w:r>
      <w:r w:rsidR="00C73C13">
        <w:rPr>
          <w:lang w:val="en-US"/>
        </w:rPr>
        <w:t>-</w:t>
      </w:r>
      <w:r w:rsidRPr="00670221">
        <w:rPr>
          <w:lang w:val="en-US"/>
        </w:rPr>
        <w:t xml:space="preserve">fuel for Upper Bound WACC case with </w:t>
      </w:r>
      <w:proofErr w:type="spellStart"/>
      <w:r w:rsidRPr="00670221">
        <w:rPr>
          <w:lang w:val="en-US"/>
        </w:rPr>
        <w:t>MWhel</w:t>
      </w:r>
      <w:proofErr w:type="spellEnd"/>
      <w:r w:rsidRPr="00670221">
        <w:rPr>
          <w:lang w:val="en-US"/>
        </w:rPr>
        <w:t xml:space="preserve"> = €</w:t>
      </w:r>
      <w:r w:rsidR="00C73D72" w:rsidRPr="00670221">
        <w:rPr>
          <w:lang w:val="en-US"/>
        </w:rPr>
        <w:t>6</w:t>
      </w:r>
      <w:r w:rsidRPr="00670221">
        <w:rPr>
          <w:lang w:val="en-US"/>
        </w:rPr>
        <w:t xml:space="preserve">0,00 and </w:t>
      </w:r>
      <w:proofErr w:type="spellStart"/>
      <w:r w:rsidRPr="00670221">
        <w:rPr>
          <w:lang w:val="en-US"/>
        </w:rPr>
        <w:t>MWhth</w:t>
      </w:r>
      <w:proofErr w:type="spellEnd"/>
      <w:r w:rsidRPr="00670221">
        <w:rPr>
          <w:lang w:val="en-US"/>
        </w:rPr>
        <w:t xml:space="preserve"> = €0,00 and WACC = 10%</w:t>
      </w:r>
      <w:bookmarkEnd w:id="114"/>
    </w:p>
    <w:p w14:paraId="2DB04471" w14:textId="77777777" w:rsidR="00A646D7" w:rsidRPr="00670221" w:rsidRDefault="00C810F3" w:rsidP="00A646D7">
      <w:pPr>
        <w:keepNext/>
        <w:jc w:val="center"/>
        <w:rPr>
          <w:lang w:val="en-US"/>
        </w:rPr>
      </w:pPr>
      <w:r w:rsidRPr="00670221">
        <w:rPr>
          <w:noProof/>
          <w:lang w:val="en-US"/>
        </w:rPr>
        <w:drawing>
          <wp:inline distT="0" distB="0" distL="0" distR="0" wp14:anchorId="3EA0CB2A" wp14:editId="7B822DB2">
            <wp:extent cx="4572000" cy="3260070"/>
            <wp:effectExtent l="0" t="0" r="0" b="4445"/>
            <wp:docPr id="17104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5110" name=""/>
                    <pic:cNvPicPr/>
                  </pic:nvPicPr>
                  <pic:blipFill>
                    <a:blip r:embed="rId50"/>
                    <a:stretch>
                      <a:fillRect/>
                    </a:stretch>
                  </pic:blipFill>
                  <pic:spPr>
                    <a:xfrm>
                      <a:off x="0" y="0"/>
                      <a:ext cx="4572000" cy="3260070"/>
                    </a:xfrm>
                    <a:prstGeom prst="rect">
                      <a:avLst/>
                    </a:prstGeom>
                  </pic:spPr>
                </pic:pic>
              </a:graphicData>
            </a:graphic>
          </wp:inline>
        </w:drawing>
      </w:r>
    </w:p>
    <w:p w14:paraId="772664AE" w14:textId="377C65A4" w:rsidR="0059256E" w:rsidRPr="00670221" w:rsidRDefault="00A646D7" w:rsidP="00A646D7">
      <w:pPr>
        <w:pStyle w:val="Caption"/>
        <w:rPr>
          <w:lang w:val="en-US"/>
        </w:rPr>
      </w:pPr>
      <w:bookmarkStart w:id="115" w:name="_Toc184403568"/>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14</w:t>
      </w:r>
      <w:r w:rsidR="002A3EA2" w:rsidRPr="00670221">
        <w:rPr>
          <w:lang w:val="en-US"/>
        </w:rPr>
        <w:fldChar w:fldCharType="end"/>
      </w:r>
      <w:r w:rsidRPr="00670221">
        <w:rPr>
          <w:lang w:val="en-US"/>
        </w:rPr>
        <w:t>: Levelized cost of e</w:t>
      </w:r>
      <w:r w:rsidR="00C73C13">
        <w:rPr>
          <w:lang w:val="en-US"/>
        </w:rPr>
        <w:t>-</w:t>
      </w:r>
      <w:r w:rsidRPr="00670221">
        <w:rPr>
          <w:lang w:val="en-US"/>
        </w:rPr>
        <w:t xml:space="preserve">fuel for Lower Bound WACC case with </w:t>
      </w:r>
      <w:proofErr w:type="spellStart"/>
      <w:r w:rsidRPr="00670221">
        <w:rPr>
          <w:lang w:val="en-US"/>
        </w:rPr>
        <w:t>MWhel</w:t>
      </w:r>
      <w:proofErr w:type="spellEnd"/>
      <w:r w:rsidRPr="00670221">
        <w:rPr>
          <w:lang w:val="en-US"/>
        </w:rPr>
        <w:t xml:space="preserve"> = €</w:t>
      </w:r>
      <w:r w:rsidR="00C73D72" w:rsidRPr="00670221">
        <w:rPr>
          <w:lang w:val="en-US"/>
        </w:rPr>
        <w:t>6</w:t>
      </w:r>
      <w:r w:rsidRPr="00670221">
        <w:rPr>
          <w:lang w:val="en-US"/>
        </w:rPr>
        <w:t xml:space="preserve">0,00 and </w:t>
      </w:r>
      <w:proofErr w:type="spellStart"/>
      <w:r w:rsidRPr="00670221">
        <w:rPr>
          <w:lang w:val="en-US"/>
        </w:rPr>
        <w:t>MWhth</w:t>
      </w:r>
      <w:proofErr w:type="spellEnd"/>
      <w:r w:rsidRPr="00670221">
        <w:rPr>
          <w:lang w:val="en-US"/>
        </w:rPr>
        <w:t xml:space="preserve"> = €0,00 and WACC = 6%</w:t>
      </w:r>
      <w:bookmarkEnd w:id="115"/>
    </w:p>
    <w:p w14:paraId="547BDA1A" w14:textId="27230DAD" w:rsidR="00405860" w:rsidRPr="00670221" w:rsidRDefault="00595524" w:rsidP="009214E2">
      <w:pPr>
        <w:rPr>
          <w:lang w:val="en-US"/>
        </w:rPr>
      </w:pPr>
      <w:r w:rsidRPr="00670221">
        <w:rPr>
          <w:lang w:val="en-US"/>
        </w:rPr>
        <w:t>For 2024, costs ranged between 2.33 €/liter and 4.30 €/liter with a WACC of 10%, and between 2.21 €/liter and 3.97 €/liter with a WACC of 6%. By 2050, a WACC of 10% resulted in costs ranging from 1.78 €/liter to 2.12 €/liter, while a 6% WACC led to a cost range of 1.72 €/liter to 2.04 €/liter.</w:t>
      </w:r>
    </w:p>
    <w:p w14:paraId="63EA6D18" w14:textId="34EE9199" w:rsidR="006518B3" w:rsidRPr="00670221" w:rsidRDefault="009E57D0" w:rsidP="005E085E">
      <w:pPr>
        <w:pStyle w:val="Heading4"/>
        <w:rPr>
          <w:lang w:val="en-US"/>
        </w:rPr>
      </w:pPr>
      <w:r w:rsidRPr="00670221">
        <w:rPr>
          <w:lang w:val="en-US"/>
        </w:rPr>
        <w:lastRenderedPageBreak/>
        <w:t>Operational Hours</w:t>
      </w:r>
    </w:p>
    <w:p w14:paraId="4FC1871D" w14:textId="5F22125D" w:rsidR="009962F1" w:rsidRPr="00670221" w:rsidRDefault="005E085E" w:rsidP="006518B3">
      <w:pPr>
        <w:keepNext/>
        <w:jc w:val="center"/>
        <w:rPr>
          <w:lang w:val="en-US"/>
        </w:rPr>
      </w:pPr>
      <w:r w:rsidRPr="00670221">
        <w:rPr>
          <w:noProof/>
          <w:lang w:val="en-US"/>
        </w:rPr>
        <w:drawing>
          <wp:inline distT="0" distB="0" distL="0" distR="0" wp14:anchorId="71659552" wp14:editId="0724DF10">
            <wp:extent cx="4572000" cy="3068093"/>
            <wp:effectExtent l="0" t="0" r="0" b="5715"/>
            <wp:docPr id="982284177" name="Picture 1" descr="A graph of a number of different levels of fu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4177" name="Picture 1" descr="A graph of a number of different levels of fuel&#10;&#10;Description automatically generated with medium confidence"/>
                    <pic:cNvPicPr/>
                  </pic:nvPicPr>
                  <pic:blipFill>
                    <a:blip r:embed="rId51"/>
                    <a:stretch>
                      <a:fillRect/>
                    </a:stretch>
                  </pic:blipFill>
                  <pic:spPr>
                    <a:xfrm>
                      <a:off x="0" y="0"/>
                      <a:ext cx="4572000" cy="3068093"/>
                    </a:xfrm>
                    <a:prstGeom prst="rect">
                      <a:avLst/>
                    </a:prstGeom>
                  </pic:spPr>
                </pic:pic>
              </a:graphicData>
            </a:graphic>
          </wp:inline>
        </w:drawing>
      </w:r>
    </w:p>
    <w:p w14:paraId="670C4F39" w14:textId="3A5411FB" w:rsidR="00C20C80" w:rsidRPr="00670221" w:rsidRDefault="006518B3" w:rsidP="005C3554">
      <w:pPr>
        <w:pStyle w:val="Caption"/>
        <w:rPr>
          <w:lang w:val="en-US"/>
        </w:rPr>
      </w:pPr>
      <w:bookmarkStart w:id="116" w:name="_Toc184403569"/>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15</w:t>
      </w:r>
      <w:r w:rsidR="002A3EA2" w:rsidRPr="00670221">
        <w:rPr>
          <w:lang w:val="en-US"/>
        </w:rPr>
        <w:fldChar w:fldCharType="end"/>
      </w:r>
      <w:r w:rsidRPr="00670221">
        <w:rPr>
          <w:lang w:val="en-US"/>
        </w:rPr>
        <w:t>: Levelized cost of e</w:t>
      </w:r>
      <w:r w:rsidR="00C73C13">
        <w:rPr>
          <w:lang w:val="en-US"/>
        </w:rPr>
        <w:t>-</w:t>
      </w:r>
      <w:r w:rsidRPr="00670221">
        <w:rPr>
          <w:lang w:val="en-US"/>
        </w:rPr>
        <w:t xml:space="preserve">fuel for 4000 Operational Hours with </w:t>
      </w:r>
      <w:proofErr w:type="spellStart"/>
      <w:r w:rsidRPr="00670221">
        <w:rPr>
          <w:lang w:val="en-US"/>
        </w:rPr>
        <w:t>MWhel</w:t>
      </w:r>
      <w:proofErr w:type="spellEnd"/>
      <w:r w:rsidRPr="00670221">
        <w:rPr>
          <w:lang w:val="en-US"/>
        </w:rPr>
        <w:t xml:space="preserve"> = €</w:t>
      </w:r>
      <w:r w:rsidR="00C73D72" w:rsidRPr="00670221">
        <w:rPr>
          <w:lang w:val="en-US"/>
        </w:rPr>
        <w:t>6</w:t>
      </w:r>
      <w:r w:rsidRPr="00670221">
        <w:rPr>
          <w:lang w:val="en-US"/>
        </w:rPr>
        <w:t xml:space="preserve">0,00 and </w:t>
      </w:r>
      <w:proofErr w:type="spellStart"/>
      <w:r w:rsidRPr="00670221">
        <w:rPr>
          <w:lang w:val="en-US"/>
        </w:rPr>
        <w:t>MWhth</w:t>
      </w:r>
      <w:proofErr w:type="spellEnd"/>
      <w:r w:rsidRPr="00670221">
        <w:rPr>
          <w:lang w:val="en-US"/>
        </w:rPr>
        <w:t xml:space="preserve"> = €0,00</w:t>
      </w:r>
      <w:bookmarkEnd w:id="116"/>
    </w:p>
    <w:p w14:paraId="19C4FF54" w14:textId="77777777" w:rsidR="00F66B74" w:rsidRPr="00670221" w:rsidRDefault="00F66B74" w:rsidP="00F66B74">
      <w:pPr>
        <w:rPr>
          <w:lang w:val="en-US"/>
        </w:rPr>
      </w:pPr>
      <w:r w:rsidRPr="00670221">
        <w:rPr>
          <w:lang w:val="en-US"/>
        </w:rPr>
        <w:t>Reducing the number of operational hours had a negative impact on all technologies. In 2024, the largest effect was observed on Sunfire SOE + FT + DAC (orange), followed by Sunfire SOE + FT + BIO (light blue), PEM + RWGS + FT + DAC (dark blue), and finally PEM + RWGS + FT + BIO (yellow). Costs for 2024 ranged between 2.88 €/liter and 5.96 €/liter. By 2050, technologies utilizing PEM converged slightly above 2 €/liter, while those incorporating SOE converged below 2.50 €/liter.</w:t>
      </w:r>
    </w:p>
    <w:p w14:paraId="603F0B1E" w14:textId="77777777" w:rsidR="001419C8" w:rsidRPr="00670221" w:rsidRDefault="001419C8" w:rsidP="00F66B74">
      <w:pPr>
        <w:rPr>
          <w:i/>
          <w:iCs/>
          <w:lang w:val="en-US"/>
        </w:rPr>
      </w:pPr>
    </w:p>
    <w:p w14:paraId="326055A3" w14:textId="441FF9F5" w:rsidR="003D3707" w:rsidRPr="00670221" w:rsidRDefault="004F7135" w:rsidP="00533E4D">
      <w:pPr>
        <w:pStyle w:val="Heading4"/>
        <w:rPr>
          <w:lang w:val="en-US"/>
        </w:rPr>
      </w:pPr>
      <w:r w:rsidRPr="00670221">
        <w:rPr>
          <w:lang w:val="en-US"/>
        </w:rPr>
        <w:t xml:space="preserve">Technological </w:t>
      </w:r>
      <w:r w:rsidR="00C26D40" w:rsidRPr="00670221">
        <w:rPr>
          <w:lang w:val="en-US"/>
        </w:rPr>
        <w:t>D</w:t>
      </w:r>
      <w:r w:rsidRPr="00670221">
        <w:rPr>
          <w:lang w:val="en-US"/>
        </w:rPr>
        <w:t>evelopment: SOE</w:t>
      </w:r>
    </w:p>
    <w:p w14:paraId="284F16A4" w14:textId="25A7BC1C" w:rsidR="00B065E7" w:rsidRPr="00670221" w:rsidRDefault="00FA075A" w:rsidP="00B065E7">
      <w:pPr>
        <w:rPr>
          <w:lang w:val="en-US"/>
        </w:rPr>
      </w:pPr>
      <w:r w:rsidRPr="00670221">
        <w:rPr>
          <w:lang w:val="en-US"/>
        </w:rPr>
        <w:t xml:space="preserve">The efficiency of </w:t>
      </w:r>
      <w:r w:rsidR="002B2A20" w:rsidRPr="00670221">
        <w:rPr>
          <w:lang w:val="en-US"/>
        </w:rPr>
        <w:t>s</w:t>
      </w:r>
      <w:r w:rsidRPr="00670221">
        <w:rPr>
          <w:lang w:val="en-US"/>
        </w:rPr>
        <w:t xml:space="preserve">olid </w:t>
      </w:r>
      <w:r w:rsidR="002B2A20" w:rsidRPr="00670221">
        <w:rPr>
          <w:lang w:val="en-US"/>
        </w:rPr>
        <w:t>o</w:t>
      </w:r>
      <w:r w:rsidRPr="00670221">
        <w:rPr>
          <w:lang w:val="en-US"/>
        </w:rPr>
        <w:t xml:space="preserve">xide </w:t>
      </w:r>
      <w:r w:rsidR="002B2A20" w:rsidRPr="00670221">
        <w:rPr>
          <w:lang w:val="en-US"/>
        </w:rPr>
        <w:t>e</w:t>
      </w:r>
      <w:r w:rsidRPr="00670221">
        <w:rPr>
          <w:lang w:val="en-US"/>
        </w:rPr>
        <w:t xml:space="preserve">lectrolysis differs from that of co-electrolysis through SOE because, in co-electrolysis, additional energy is required to convert CO2​ into CO. This process benefits from shared thermal energy, improving overall efficiency by reducing energy losses compared to separate conversions of water and CO2​. However, while efficiency data for SOE is available, </w:t>
      </w:r>
      <w:r w:rsidR="007F1CB2" w:rsidRPr="00670221">
        <w:rPr>
          <w:lang w:val="en-US"/>
        </w:rPr>
        <w:t>we</w:t>
      </w:r>
      <w:r w:rsidRPr="00670221">
        <w:rPr>
          <w:lang w:val="en-US"/>
        </w:rPr>
        <w:t xml:space="preserve"> </w:t>
      </w:r>
      <w:r w:rsidR="007F1CB2" w:rsidRPr="00670221">
        <w:rPr>
          <w:lang w:val="en-US"/>
        </w:rPr>
        <w:t>found</w:t>
      </w:r>
      <w:r w:rsidRPr="00670221">
        <w:rPr>
          <w:lang w:val="en-US"/>
        </w:rPr>
        <w:t xml:space="preserve"> little to no data on the current and future efficiencies of co-electrolysis. Consequently, our co-electrolysis efficiency is based on the Sunfire model and remains constant, leading to an </w:t>
      </w:r>
      <w:r w:rsidR="0058374C" w:rsidRPr="00670221">
        <w:rPr>
          <w:lang w:val="en-US"/>
        </w:rPr>
        <w:t>unequal</w:t>
      </w:r>
      <w:r w:rsidRPr="00670221">
        <w:rPr>
          <w:lang w:val="en-US"/>
        </w:rPr>
        <w:t xml:space="preserve"> comparison with PEM efficiencies beyond 2024</w:t>
      </w:r>
      <w:r w:rsidR="007F5F94" w:rsidRPr="00670221">
        <w:rPr>
          <w:lang w:val="en-US"/>
        </w:rPr>
        <w:t xml:space="preserve">, as </w:t>
      </w:r>
      <w:r w:rsidR="0038019A" w:rsidRPr="00670221">
        <w:rPr>
          <w:lang w:val="en-US"/>
        </w:rPr>
        <w:t>PEM</w:t>
      </w:r>
      <w:r w:rsidR="007F5F94" w:rsidRPr="00670221">
        <w:rPr>
          <w:lang w:val="en-US"/>
        </w:rPr>
        <w:t xml:space="preserve"> </w:t>
      </w:r>
      <w:proofErr w:type="spellStart"/>
      <w:r w:rsidR="007F5F94" w:rsidRPr="00670221">
        <w:rPr>
          <w:lang w:val="en-US"/>
        </w:rPr>
        <w:t>effiencies</w:t>
      </w:r>
      <w:proofErr w:type="spellEnd"/>
      <w:r w:rsidR="007F5F94" w:rsidRPr="00670221">
        <w:rPr>
          <w:lang w:val="en-US"/>
        </w:rPr>
        <w:t xml:space="preserve"> are modeled to improve</w:t>
      </w:r>
      <w:r w:rsidRPr="00670221">
        <w:rPr>
          <w:lang w:val="en-US"/>
        </w:rPr>
        <w:t>.</w:t>
      </w:r>
      <w:r w:rsidR="00435BE7" w:rsidRPr="00670221">
        <w:rPr>
          <w:lang w:val="en-US"/>
        </w:rPr>
        <w:t xml:space="preserve"> As </w:t>
      </w:r>
      <w:proofErr w:type="spellStart"/>
      <w:r w:rsidR="00435BE7" w:rsidRPr="00670221">
        <w:rPr>
          <w:lang w:val="en-US"/>
        </w:rPr>
        <w:t>electrolyzer</w:t>
      </w:r>
      <w:proofErr w:type="spellEnd"/>
      <w:r w:rsidR="00435BE7" w:rsidRPr="00670221">
        <w:rPr>
          <w:lang w:val="en-US"/>
        </w:rPr>
        <w:t xml:space="preserve"> OPEX was identified as the largest contributor to costs, the carbon efficiency was calculated, and electrical efficiency data was retrieved from a feasibility study on syngas production through SOE conducted by ISPT </w:t>
      </w:r>
      <w:r w:rsidR="00C53DF1">
        <w:rPr>
          <w:lang w:val="en-US"/>
        </w:rPr>
        <w:t>(</w:t>
      </w:r>
      <w:r w:rsidR="00C53DF1" w:rsidRPr="00670221">
        <w:rPr>
          <w:lang w:val="en-US"/>
        </w:rPr>
        <w:t>Institute for Sustainable Process Technology</w:t>
      </w:r>
      <w:r w:rsidR="00C53DF1">
        <w:rPr>
          <w:lang w:val="en-US"/>
        </w:rPr>
        <w:t xml:space="preserve">) </w:t>
      </w:r>
      <w:r w:rsidR="00435BE7" w:rsidRPr="00670221">
        <w:rPr>
          <w:lang w:val="en-US"/>
        </w:rPr>
        <w:t xml:space="preserve">and TNO (van ’t </w:t>
      </w:r>
      <w:proofErr w:type="spellStart"/>
      <w:r w:rsidR="00435BE7" w:rsidRPr="00670221">
        <w:rPr>
          <w:lang w:val="en-US"/>
        </w:rPr>
        <w:t>Noordende</w:t>
      </w:r>
      <w:proofErr w:type="spellEnd"/>
      <w:r w:rsidR="00435BE7" w:rsidRPr="00670221">
        <w:rPr>
          <w:lang w:val="en-US"/>
        </w:rPr>
        <w:t xml:space="preserve"> et al., 2023). These parameters were incorporated into the model as an additional technology option to provide insights into the sensitivity of solid oxide </w:t>
      </w:r>
      <w:proofErr w:type="spellStart"/>
      <w:r w:rsidR="00435BE7" w:rsidRPr="00670221">
        <w:rPr>
          <w:lang w:val="en-US"/>
        </w:rPr>
        <w:t>electrolyzer</w:t>
      </w:r>
      <w:proofErr w:type="spellEnd"/>
      <w:r w:rsidR="00435BE7" w:rsidRPr="00670221">
        <w:rPr>
          <w:lang w:val="en-US"/>
        </w:rPr>
        <w:t xml:space="preserve"> performance specifications. </w:t>
      </w:r>
      <w:r w:rsidR="00C13375" w:rsidRPr="00670221">
        <w:rPr>
          <w:lang w:val="en-US"/>
        </w:rPr>
        <w:t>The data can be found in the table below.</w:t>
      </w:r>
    </w:p>
    <w:tbl>
      <w:tblPr>
        <w:tblStyle w:val="TableGrid"/>
        <w:tblW w:w="0" w:type="auto"/>
        <w:tblLook w:val="04A0" w:firstRow="1" w:lastRow="0" w:firstColumn="1" w:lastColumn="0" w:noHBand="0" w:noVBand="1"/>
      </w:tblPr>
      <w:tblGrid>
        <w:gridCol w:w="1803"/>
        <w:gridCol w:w="1803"/>
        <w:gridCol w:w="1803"/>
        <w:gridCol w:w="1803"/>
        <w:gridCol w:w="1804"/>
      </w:tblGrid>
      <w:tr w:rsidR="002D34F8" w:rsidRPr="00670221" w14:paraId="69AC9050" w14:textId="77777777" w:rsidTr="00CA6411">
        <w:tc>
          <w:tcPr>
            <w:tcW w:w="1803" w:type="dxa"/>
          </w:tcPr>
          <w:p w14:paraId="5DF980EA" w14:textId="77777777" w:rsidR="002D34F8" w:rsidRPr="00670221" w:rsidRDefault="002D34F8" w:rsidP="00E75766">
            <w:pPr>
              <w:rPr>
                <w:sz w:val="20"/>
                <w:szCs w:val="20"/>
                <w:lang w:val="en-US"/>
              </w:rPr>
            </w:pPr>
          </w:p>
        </w:tc>
        <w:tc>
          <w:tcPr>
            <w:tcW w:w="3606" w:type="dxa"/>
            <w:gridSpan w:val="2"/>
          </w:tcPr>
          <w:p w14:paraId="166EA4B8" w14:textId="6DB92D50" w:rsidR="002D34F8" w:rsidRPr="00670221" w:rsidRDefault="002D34F8" w:rsidP="003078D4">
            <w:pPr>
              <w:jc w:val="center"/>
              <w:rPr>
                <w:b/>
                <w:bCs/>
                <w:sz w:val="20"/>
                <w:szCs w:val="20"/>
                <w:lang w:val="en-US"/>
              </w:rPr>
            </w:pPr>
            <w:r w:rsidRPr="00670221">
              <w:rPr>
                <w:b/>
                <w:bCs/>
                <w:sz w:val="20"/>
                <w:szCs w:val="20"/>
                <w:lang w:val="en-US"/>
              </w:rPr>
              <w:t>Sunfire</w:t>
            </w:r>
          </w:p>
        </w:tc>
        <w:tc>
          <w:tcPr>
            <w:tcW w:w="3607" w:type="dxa"/>
            <w:gridSpan w:val="2"/>
          </w:tcPr>
          <w:p w14:paraId="1E3EC8DD" w14:textId="35796878" w:rsidR="002D34F8" w:rsidRPr="00670221" w:rsidRDefault="002D34F8" w:rsidP="003078D4">
            <w:pPr>
              <w:jc w:val="center"/>
              <w:rPr>
                <w:b/>
                <w:bCs/>
                <w:sz w:val="20"/>
                <w:szCs w:val="20"/>
                <w:lang w:val="en-US"/>
              </w:rPr>
            </w:pPr>
            <w:r w:rsidRPr="00670221">
              <w:rPr>
                <w:b/>
                <w:bCs/>
                <w:sz w:val="20"/>
                <w:szCs w:val="20"/>
                <w:lang w:val="en-US"/>
              </w:rPr>
              <w:t>ISPT</w:t>
            </w:r>
          </w:p>
        </w:tc>
      </w:tr>
      <w:tr w:rsidR="00545086" w:rsidRPr="00670221" w14:paraId="4CFFADC0" w14:textId="77777777" w:rsidTr="001B3F55">
        <w:tc>
          <w:tcPr>
            <w:tcW w:w="1803" w:type="dxa"/>
          </w:tcPr>
          <w:p w14:paraId="191AB733" w14:textId="700051ED" w:rsidR="00545086" w:rsidRPr="00670221" w:rsidRDefault="00545086" w:rsidP="00250320">
            <w:pPr>
              <w:rPr>
                <w:sz w:val="20"/>
                <w:szCs w:val="20"/>
                <w:lang w:val="en-US"/>
              </w:rPr>
            </w:pPr>
            <w:r w:rsidRPr="00670221">
              <w:rPr>
                <w:sz w:val="20"/>
                <w:szCs w:val="20"/>
                <w:lang w:val="en-US"/>
              </w:rPr>
              <w:t>CO2 input</w:t>
            </w:r>
          </w:p>
        </w:tc>
        <w:tc>
          <w:tcPr>
            <w:tcW w:w="1803" w:type="dxa"/>
          </w:tcPr>
          <w:p w14:paraId="30F2E763" w14:textId="188B6E6E" w:rsidR="00545086" w:rsidRPr="00670221" w:rsidRDefault="004C4240" w:rsidP="004C4240">
            <w:pPr>
              <w:jc w:val="left"/>
              <w:rPr>
                <w:sz w:val="20"/>
                <w:szCs w:val="20"/>
                <w:lang w:val="en-US"/>
              </w:rPr>
            </w:pPr>
            <w:r w:rsidRPr="00670221">
              <w:rPr>
                <w:sz w:val="20"/>
                <w:szCs w:val="20"/>
                <w:lang w:val="en-US"/>
              </w:rPr>
              <w:t>730</w:t>
            </w:r>
          </w:p>
        </w:tc>
        <w:tc>
          <w:tcPr>
            <w:tcW w:w="1803" w:type="dxa"/>
          </w:tcPr>
          <w:p w14:paraId="71A37BDB" w14:textId="3A7E4D12" w:rsidR="00545086" w:rsidRPr="00670221" w:rsidRDefault="004C4240" w:rsidP="00250320">
            <w:pPr>
              <w:rPr>
                <w:sz w:val="20"/>
                <w:szCs w:val="20"/>
                <w:lang w:val="en-US"/>
              </w:rPr>
            </w:pPr>
            <w:r w:rsidRPr="00670221">
              <w:rPr>
                <w:sz w:val="20"/>
                <w:szCs w:val="20"/>
                <w:lang w:val="en-US"/>
              </w:rPr>
              <w:t>kg/h</w:t>
            </w:r>
          </w:p>
        </w:tc>
        <w:tc>
          <w:tcPr>
            <w:tcW w:w="1803" w:type="dxa"/>
          </w:tcPr>
          <w:p w14:paraId="27D377EC" w14:textId="2E4F0CBD" w:rsidR="00545086" w:rsidRPr="00670221" w:rsidRDefault="004C4240" w:rsidP="00250320">
            <w:pPr>
              <w:rPr>
                <w:sz w:val="20"/>
                <w:szCs w:val="20"/>
                <w:lang w:val="en-US"/>
              </w:rPr>
            </w:pPr>
            <w:r w:rsidRPr="00670221">
              <w:rPr>
                <w:sz w:val="20"/>
                <w:szCs w:val="20"/>
                <w:lang w:val="en-US"/>
              </w:rPr>
              <w:t>190</w:t>
            </w:r>
          </w:p>
        </w:tc>
        <w:tc>
          <w:tcPr>
            <w:tcW w:w="1804" w:type="dxa"/>
          </w:tcPr>
          <w:p w14:paraId="76AC59D8" w14:textId="4976E96A" w:rsidR="00545086" w:rsidRPr="00670221" w:rsidRDefault="004C4240" w:rsidP="00250320">
            <w:pPr>
              <w:rPr>
                <w:sz w:val="20"/>
                <w:szCs w:val="20"/>
                <w:lang w:val="en-US"/>
              </w:rPr>
            </w:pPr>
            <w:r w:rsidRPr="00670221">
              <w:rPr>
                <w:sz w:val="20"/>
                <w:szCs w:val="20"/>
                <w:lang w:val="en-US"/>
              </w:rPr>
              <w:t>ton/h</w:t>
            </w:r>
          </w:p>
        </w:tc>
      </w:tr>
      <w:tr w:rsidR="00545086" w:rsidRPr="00670221" w14:paraId="3A2DE6E6" w14:textId="77777777" w:rsidTr="001B3F55">
        <w:tc>
          <w:tcPr>
            <w:tcW w:w="1803" w:type="dxa"/>
          </w:tcPr>
          <w:p w14:paraId="08AD5D83" w14:textId="6BA0AE38" w:rsidR="00545086" w:rsidRPr="00670221" w:rsidRDefault="00545086" w:rsidP="00250320">
            <w:pPr>
              <w:rPr>
                <w:sz w:val="20"/>
                <w:szCs w:val="20"/>
                <w:lang w:val="en-US"/>
              </w:rPr>
            </w:pPr>
            <w:r w:rsidRPr="00670221">
              <w:rPr>
                <w:sz w:val="20"/>
                <w:szCs w:val="20"/>
                <w:lang w:val="en-US"/>
              </w:rPr>
              <w:lastRenderedPageBreak/>
              <w:t>Syngas output</w:t>
            </w:r>
          </w:p>
        </w:tc>
        <w:tc>
          <w:tcPr>
            <w:tcW w:w="1803" w:type="dxa"/>
          </w:tcPr>
          <w:p w14:paraId="7DE91BBD" w14:textId="5E86174D" w:rsidR="00545086" w:rsidRPr="00670221" w:rsidRDefault="004C4240" w:rsidP="00250320">
            <w:pPr>
              <w:rPr>
                <w:sz w:val="20"/>
                <w:szCs w:val="20"/>
                <w:lang w:val="en-US"/>
              </w:rPr>
            </w:pPr>
            <w:r w:rsidRPr="00670221">
              <w:rPr>
                <w:sz w:val="20"/>
                <w:szCs w:val="20"/>
                <w:lang w:val="en-US"/>
              </w:rPr>
              <w:t>750</w:t>
            </w:r>
          </w:p>
        </w:tc>
        <w:tc>
          <w:tcPr>
            <w:tcW w:w="1803" w:type="dxa"/>
          </w:tcPr>
          <w:p w14:paraId="72DA27DB" w14:textId="57B130FA" w:rsidR="00545086" w:rsidRPr="00670221" w:rsidRDefault="004C4240" w:rsidP="00250320">
            <w:pPr>
              <w:rPr>
                <w:sz w:val="20"/>
                <w:szCs w:val="20"/>
                <w:lang w:val="en-US"/>
              </w:rPr>
            </w:pPr>
            <w:r w:rsidRPr="00670221">
              <w:rPr>
                <w:sz w:val="20"/>
                <w:szCs w:val="20"/>
                <w:lang w:val="en-US"/>
              </w:rPr>
              <w:t>nm</w:t>
            </w:r>
            <w:r w:rsidRPr="00670221">
              <w:rPr>
                <w:sz w:val="20"/>
                <w:szCs w:val="20"/>
                <w:vertAlign w:val="superscript"/>
                <w:lang w:val="en-US"/>
              </w:rPr>
              <w:t>3</w:t>
            </w:r>
            <w:r w:rsidRPr="00670221">
              <w:rPr>
                <w:sz w:val="20"/>
                <w:szCs w:val="20"/>
                <w:lang w:val="en-US"/>
              </w:rPr>
              <w:t>/h</w:t>
            </w:r>
          </w:p>
        </w:tc>
        <w:tc>
          <w:tcPr>
            <w:tcW w:w="1803" w:type="dxa"/>
          </w:tcPr>
          <w:p w14:paraId="3637E2B0" w14:textId="2B16369A" w:rsidR="00545086" w:rsidRPr="00670221" w:rsidRDefault="004C4240" w:rsidP="00250320">
            <w:pPr>
              <w:rPr>
                <w:sz w:val="20"/>
                <w:szCs w:val="20"/>
                <w:lang w:val="en-US"/>
              </w:rPr>
            </w:pPr>
            <w:r w:rsidRPr="00670221">
              <w:rPr>
                <w:sz w:val="20"/>
                <w:szCs w:val="20"/>
                <w:lang w:val="en-US"/>
              </w:rPr>
              <w:t>110</w:t>
            </w:r>
          </w:p>
        </w:tc>
        <w:tc>
          <w:tcPr>
            <w:tcW w:w="1804" w:type="dxa"/>
          </w:tcPr>
          <w:p w14:paraId="19004398" w14:textId="79E82A45" w:rsidR="00545086" w:rsidRPr="00670221" w:rsidRDefault="004C4240" w:rsidP="00250320">
            <w:pPr>
              <w:rPr>
                <w:sz w:val="20"/>
                <w:szCs w:val="20"/>
                <w:lang w:val="en-US"/>
              </w:rPr>
            </w:pPr>
            <w:r w:rsidRPr="00670221">
              <w:rPr>
                <w:sz w:val="20"/>
                <w:szCs w:val="20"/>
                <w:lang w:val="en-US"/>
              </w:rPr>
              <w:t>ton/h</w:t>
            </w:r>
          </w:p>
        </w:tc>
      </w:tr>
      <w:tr w:rsidR="00250320" w:rsidRPr="00670221" w14:paraId="115B8A2B" w14:textId="77777777" w:rsidTr="001B3F55">
        <w:tc>
          <w:tcPr>
            <w:tcW w:w="1803" w:type="dxa"/>
          </w:tcPr>
          <w:p w14:paraId="4C9D17BB" w14:textId="3AA4C94E" w:rsidR="00250320" w:rsidRPr="00670221" w:rsidRDefault="00250320" w:rsidP="00250320">
            <w:pPr>
              <w:rPr>
                <w:sz w:val="20"/>
                <w:szCs w:val="20"/>
                <w:lang w:val="en-US"/>
              </w:rPr>
            </w:pPr>
            <w:r w:rsidRPr="00670221">
              <w:rPr>
                <w:sz w:val="20"/>
                <w:szCs w:val="20"/>
                <w:lang w:val="en-US"/>
              </w:rPr>
              <w:t>Carbon efficiency</w:t>
            </w:r>
          </w:p>
        </w:tc>
        <w:tc>
          <w:tcPr>
            <w:tcW w:w="1803" w:type="dxa"/>
          </w:tcPr>
          <w:p w14:paraId="41A43095" w14:textId="5ECB9864" w:rsidR="00250320" w:rsidRPr="00670221" w:rsidRDefault="00250320" w:rsidP="00250320">
            <w:pPr>
              <w:rPr>
                <w:sz w:val="20"/>
                <w:szCs w:val="20"/>
                <w:lang w:val="en-US"/>
              </w:rPr>
            </w:pPr>
            <w:r w:rsidRPr="00670221">
              <w:rPr>
                <w:sz w:val="20"/>
                <w:szCs w:val="20"/>
                <w:lang w:val="en-US"/>
              </w:rPr>
              <w:t>67</w:t>
            </w:r>
          </w:p>
        </w:tc>
        <w:tc>
          <w:tcPr>
            <w:tcW w:w="1803" w:type="dxa"/>
          </w:tcPr>
          <w:p w14:paraId="52E8A130" w14:textId="43A2131D" w:rsidR="00250320" w:rsidRPr="00670221" w:rsidRDefault="00250320" w:rsidP="00250320">
            <w:pPr>
              <w:rPr>
                <w:sz w:val="20"/>
                <w:szCs w:val="20"/>
                <w:lang w:val="en-US"/>
              </w:rPr>
            </w:pPr>
            <w:r w:rsidRPr="00670221">
              <w:rPr>
                <w:sz w:val="20"/>
                <w:szCs w:val="20"/>
                <w:lang w:val="en-US"/>
              </w:rPr>
              <w:t>%</w:t>
            </w:r>
          </w:p>
        </w:tc>
        <w:tc>
          <w:tcPr>
            <w:tcW w:w="1803" w:type="dxa"/>
          </w:tcPr>
          <w:p w14:paraId="417C9F34" w14:textId="3BC410C2" w:rsidR="00250320" w:rsidRPr="00670221" w:rsidRDefault="00250320" w:rsidP="00250320">
            <w:pPr>
              <w:rPr>
                <w:sz w:val="20"/>
                <w:szCs w:val="20"/>
                <w:lang w:val="en-US"/>
              </w:rPr>
            </w:pPr>
            <w:r w:rsidRPr="00670221">
              <w:rPr>
                <w:sz w:val="20"/>
                <w:szCs w:val="20"/>
                <w:lang w:val="en-US"/>
              </w:rPr>
              <w:t>80</w:t>
            </w:r>
          </w:p>
        </w:tc>
        <w:tc>
          <w:tcPr>
            <w:tcW w:w="1804" w:type="dxa"/>
          </w:tcPr>
          <w:p w14:paraId="64F475E4" w14:textId="6BC3B86B" w:rsidR="00250320" w:rsidRPr="00670221" w:rsidRDefault="00250320" w:rsidP="00250320">
            <w:pPr>
              <w:rPr>
                <w:sz w:val="20"/>
                <w:szCs w:val="20"/>
                <w:lang w:val="en-US"/>
              </w:rPr>
            </w:pPr>
            <w:r w:rsidRPr="00670221">
              <w:rPr>
                <w:sz w:val="20"/>
                <w:szCs w:val="20"/>
                <w:lang w:val="en-US"/>
              </w:rPr>
              <w:t>%</w:t>
            </w:r>
          </w:p>
        </w:tc>
      </w:tr>
      <w:tr w:rsidR="0007361A" w:rsidRPr="00670221" w14:paraId="5047D1B9" w14:textId="77777777" w:rsidTr="001B3F55">
        <w:tc>
          <w:tcPr>
            <w:tcW w:w="1803" w:type="dxa"/>
          </w:tcPr>
          <w:p w14:paraId="566F767B" w14:textId="47C53125" w:rsidR="0007361A" w:rsidRPr="00670221" w:rsidRDefault="00250320" w:rsidP="00E75766">
            <w:pPr>
              <w:rPr>
                <w:sz w:val="20"/>
                <w:szCs w:val="20"/>
                <w:lang w:val="en-US"/>
              </w:rPr>
            </w:pPr>
            <w:r w:rsidRPr="00670221">
              <w:rPr>
                <w:sz w:val="20"/>
                <w:szCs w:val="20"/>
                <w:lang w:val="en-US"/>
              </w:rPr>
              <w:t xml:space="preserve">Electrical </w:t>
            </w:r>
            <w:r w:rsidR="00B065E7" w:rsidRPr="00670221">
              <w:rPr>
                <w:sz w:val="20"/>
                <w:szCs w:val="20"/>
                <w:lang w:val="en-US"/>
              </w:rPr>
              <w:t>e</w:t>
            </w:r>
            <w:r w:rsidR="0007361A" w:rsidRPr="00670221">
              <w:rPr>
                <w:sz w:val="20"/>
                <w:szCs w:val="20"/>
                <w:lang w:val="en-US"/>
              </w:rPr>
              <w:t>fficiency</w:t>
            </w:r>
          </w:p>
        </w:tc>
        <w:tc>
          <w:tcPr>
            <w:tcW w:w="1803" w:type="dxa"/>
          </w:tcPr>
          <w:p w14:paraId="0D213AC2" w14:textId="1114B8E3" w:rsidR="0007361A" w:rsidRPr="00670221" w:rsidRDefault="0061429A" w:rsidP="00E75766">
            <w:pPr>
              <w:rPr>
                <w:sz w:val="20"/>
                <w:szCs w:val="20"/>
                <w:lang w:val="en-US"/>
              </w:rPr>
            </w:pPr>
            <w:r w:rsidRPr="00670221">
              <w:rPr>
                <w:sz w:val="20"/>
                <w:szCs w:val="20"/>
                <w:lang w:val="en-US"/>
              </w:rPr>
              <w:t>82</w:t>
            </w:r>
          </w:p>
        </w:tc>
        <w:tc>
          <w:tcPr>
            <w:tcW w:w="1803" w:type="dxa"/>
          </w:tcPr>
          <w:p w14:paraId="4ED7D16F" w14:textId="63058659" w:rsidR="0007361A" w:rsidRPr="00670221" w:rsidRDefault="0061429A" w:rsidP="00E75766">
            <w:pPr>
              <w:rPr>
                <w:sz w:val="20"/>
                <w:szCs w:val="20"/>
                <w:lang w:val="en-US"/>
              </w:rPr>
            </w:pPr>
            <w:r w:rsidRPr="00670221">
              <w:rPr>
                <w:sz w:val="20"/>
                <w:szCs w:val="20"/>
                <w:lang w:val="en-US"/>
              </w:rPr>
              <w:t>%</w:t>
            </w:r>
          </w:p>
        </w:tc>
        <w:tc>
          <w:tcPr>
            <w:tcW w:w="1803" w:type="dxa"/>
          </w:tcPr>
          <w:p w14:paraId="488A6890" w14:textId="27118C18" w:rsidR="0007361A" w:rsidRPr="00670221" w:rsidRDefault="0061429A" w:rsidP="00E75766">
            <w:pPr>
              <w:rPr>
                <w:sz w:val="20"/>
                <w:szCs w:val="20"/>
                <w:lang w:val="en-US"/>
              </w:rPr>
            </w:pPr>
            <w:r w:rsidRPr="00670221">
              <w:rPr>
                <w:sz w:val="20"/>
                <w:szCs w:val="20"/>
                <w:lang w:val="en-US"/>
              </w:rPr>
              <w:t>92</w:t>
            </w:r>
          </w:p>
        </w:tc>
        <w:tc>
          <w:tcPr>
            <w:tcW w:w="1804" w:type="dxa"/>
          </w:tcPr>
          <w:p w14:paraId="00DA42F8" w14:textId="6738395A" w:rsidR="0007361A" w:rsidRPr="00670221" w:rsidRDefault="0061429A" w:rsidP="00EF60A5">
            <w:pPr>
              <w:keepNext/>
              <w:rPr>
                <w:sz w:val="20"/>
                <w:szCs w:val="20"/>
                <w:lang w:val="en-US"/>
              </w:rPr>
            </w:pPr>
            <w:r w:rsidRPr="00670221">
              <w:rPr>
                <w:sz w:val="20"/>
                <w:szCs w:val="20"/>
                <w:lang w:val="en-US"/>
              </w:rPr>
              <w:t>%</w:t>
            </w:r>
          </w:p>
        </w:tc>
      </w:tr>
    </w:tbl>
    <w:p w14:paraId="791EAD90" w14:textId="4679EBDC" w:rsidR="00BE0709" w:rsidRPr="00670221" w:rsidRDefault="00EF60A5" w:rsidP="00382C34">
      <w:pPr>
        <w:pStyle w:val="Caption"/>
        <w:rPr>
          <w:lang w:val="en-US"/>
        </w:rPr>
      </w:pPr>
      <w:bookmarkStart w:id="117" w:name="_Toc184403599"/>
      <w:r w:rsidRPr="00670221">
        <w:rPr>
          <w:lang w:val="en-US"/>
        </w:rPr>
        <w:t xml:space="preserve">Table </w:t>
      </w:r>
      <w:r w:rsidRPr="00670221">
        <w:rPr>
          <w:lang w:val="en-US"/>
        </w:rPr>
        <w:fldChar w:fldCharType="begin"/>
      </w:r>
      <w:r w:rsidRPr="00670221">
        <w:rPr>
          <w:lang w:val="en-US"/>
        </w:rPr>
        <w:instrText xml:space="preserve"> STYLEREF 1 \s </w:instrText>
      </w:r>
      <w:r w:rsidRPr="00670221">
        <w:rPr>
          <w:lang w:val="en-US"/>
        </w:rPr>
        <w:fldChar w:fldCharType="separate"/>
      </w:r>
      <w:r w:rsidRPr="00670221">
        <w:rPr>
          <w:lang w:val="en-US"/>
        </w:rPr>
        <w:t>4</w:t>
      </w:r>
      <w:r w:rsidRPr="00670221">
        <w:rPr>
          <w:lang w:val="en-US"/>
        </w:rPr>
        <w:fldChar w:fldCharType="end"/>
      </w:r>
      <w:r w:rsidRPr="00670221">
        <w:rPr>
          <w:lang w:val="en-US"/>
        </w:rPr>
        <w:t>.</w:t>
      </w:r>
      <w:r w:rsidRPr="00670221">
        <w:rPr>
          <w:lang w:val="en-US"/>
        </w:rPr>
        <w:fldChar w:fldCharType="begin"/>
      </w:r>
      <w:r w:rsidRPr="00670221">
        <w:rPr>
          <w:lang w:val="en-US"/>
        </w:rPr>
        <w:instrText xml:space="preserve"> SEQ Table \* ARABIC \s 1 </w:instrText>
      </w:r>
      <w:r w:rsidRPr="00670221">
        <w:rPr>
          <w:lang w:val="en-US"/>
        </w:rPr>
        <w:fldChar w:fldCharType="separate"/>
      </w:r>
      <w:r w:rsidRPr="00670221">
        <w:rPr>
          <w:lang w:val="en-US"/>
        </w:rPr>
        <w:t>10</w:t>
      </w:r>
      <w:r w:rsidRPr="00670221">
        <w:rPr>
          <w:lang w:val="en-US"/>
        </w:rPr>
        <w:fldChar w:fldCharType="end"/>
      </w:r>
      <w:r w:rsidRPr="00670221">
        <w:rPr>
          <w:lang w:val="en-US"/>
        </w:rPr>
        <w:t xml:space="preserve">: </w:t>
      </w:r>
      <w:r w:rsidR="00042398">
        <w:rPr>
          <w:lang w:val="en-US"/>
        </w:rPr>
        <w:t>P</w:t>
      </w:r>
      <w:r w:rsidRPr="00670221">
        <w:rPr>
          <w:lang w:val="en-US"/>
        </w:rPr>
        <w:t xml:space="preserve">erformance specs of the different solid oxide </w:t>
      </w:r>
      <w:proofErr w:type="spellStart"/>
      <w:r w:rsidRPr="00670221">
        <w:rPr>
          <w:lang w:val="en-US"/>
        </w:rPr>
        <w:t>electrolyzers</w:t>
      </w:r>
      <w:bookmarkEnd w:id="117"/>
      <w:proofErr w:type="spellEnd"/>
    </w:p>
    <w:p w14:paraId="61460CF9" w14:textId="77777777" w:rsidR="0010313E" w:rsidRPr="00670221" w:rsidRDefault="003D3707" w:rsidP="0010313E">
      <w:pPr>
        <w:keepNext/>
        <w:jc w:val="center"/>
        <w:rPr>
          <w:lang w:val="en-US"/>
        </w:rPr>
      </w:pPr>
      <w:r w:rsidRPr="00670221">
        <w:rPr>
          <w:noProof/>
          <w:lang w:val="en-US"/>
        </w:rPr>
        <w:drawing>
          <wp:inline distT="0" distB="0" distL="0" distR="0" wp14:anchorId="0ED3E17B" wp14:editId="2D6F2C20">
            <wp:extent cx="4572000" cy="3764580"/>
            <wp:effectExtent l="0" t="0" r="0" b="0"/>
            <wp:docPr id="6760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715" name=""/>
                    <pic:cNvPicPr/>
                  </pic:nvPicPr>
                  <pic:blipFill>
                    <a:blip r:embed="rId52"/>
                    <a:stretch>
                      <a:fillRect/>
                    </a:stretch>
                  </pic:blipFill>
                  <pic:spPr>
                    <a:xfrm>
                      <a:off x="0" y="0"/>
                      <a:ext cx="4572000" cy="3764580"/>
                    </a:xfrm>
                    <a:prstGeom prst="rect">
                      <a:avLst/>
                    </a:prstGeom>
                  </pic:spPr>
                </pic:pic>
              </a:graphicData>
            </a:graphic>
          </wp:inline>
        </w:drawing>
      </w:r>
    </w:p>
    <w:p w14:paraId="51F97237" w14:textId="244A6A08" w:rsidR="00533E4D" w:rsidRPr="00670221" w:rsidRDefault="0010313E" w:rsidP="0010313E">
      <w:pPr>
        <w:pStyle w:val="Caption"/>
        <w:rPr>
          <w:lang w:val="en-US"/>
        </w:rPr>
      </w:pPr>
      <w:bookmarkStart w:id="118" w:name="_Toc184403570"/>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4</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16</w:t>
      </w:r>
      <w:r w:rsidR="002A3EA2" w:rsidRPr="00670221">
        <w:rPr>
          <w:lang w:val="en-US"/>
        </w:rPr>
        <w:fldChar w:fldCharType="end"/>
      </w:r>
      <w:r w:rsidRPr="00670221">
        <w:rPr>
          <w:lang w:val="en-US"/>
        </w:rPr>
        <w:t>: Levelized cost of e</w:t>
      </w:r>
      <w:r w:rsidR="00C73C13">
        <w:rPr>
          <w:lang w:val="en-US"/>
        </w:rPr>
        <w:t>-</w:t>
      </w:r>
      <w:r w:rsidRPr="00670221">
        <w:rPr>
          <w:lang w:val="en-US"/>
        </w:rPr>
        <w:t xml:space="preserve">fuel with additional solid oxide </w:t>
      </w:r>
      <w:proofErr w:type="spellStart"/>
      <w:r w:rsidRPr="00670221">
        <w:rPr>
          <w:lang w:val="en-US"/>
        </w:rPr>
        <w:t>electrolyzer</w:t>
      </w:r>
      <w:bookmarkEnd w:id="118"/>
      <w:proofErr w:type="spellEnd"/>
    </w:p>
    <w:p w14:paraId="0466353E" w14:textId="15D58AA5" w:rsidR="00D32402" w:rsidRPr="00670221" w:rsidRDefault="00F55D71" w:rsidP="00D32402">
      <w:pPr>
        <w:rPr>
          <w:lang w:val="en-US"/>
        </w:rPr>
      </w:pPr>
      <w:r w:rsidRPr="00670221">
        <w:rPr>
          <w:lang w:val="en-US"/>
        </w:rPr>
        <w:t xml:space="preserve">On the short term, the </w:t>
      </w:r>
      <w:r w:rsidR="00184B96" w:rsidRPr="00670221">
        <w:rPr>
          <w:lang w:val="en-US"/>
        </w:rPr>
        <w:t>ISPT SOE + FT + BIO (green line)</w:t>
      </w:r>
      <w:r w:rsidR="001B4B50" w:rsidRPr="00670221">
        <w:rPr>
          <w:lang w:val="en-US"/>
        </w:rPr>
        <w:t xml:space="preserve"> reaches cost parity with the </w:t>
      </w:r>
      <w:r w:rsidR="00BC4F90" w:rsidRPr="00670221">
        <w:rPr>
          <w:lang w:val="en-US"/>
        </w:rPr>
        <w:t>lowest levelized cost</w:t>
      </w:r>
      <w:r w:rsidR="003C6C1C" w:rsidRPr="00670221">
        <w:rPr>
          <w:lang w:val="en-US"/>
        </w:rPr>
        <w:t xml:space="preserve"> highlighted by yellow</w:t>
      </w:r>
      <w:r w:rsidR="001B4B50" w:rsidRPr="00670221">
        <w:rPr>
          <w:lang w:val="en-US"/>
        </w:rPr>
        <w:t xml:space="preserve"> in 2032 at 2,</w:t>
      </w:r>
      <w:r w:rsidR="00140D2D" w:rsidRPr="00670221">
        <w:rPr>
          <w:lang w:val="en-US"/>
        </w:rPr>
        <w:t xml:space="preserve">07 €/liter. </w:t>
      </w:r>
      <w:r w:rsidR="001202E3" w:rsidRPr="00670221">
        <w:rPr>
          <w:lang w:val="en-US"/>
        </w:rPr>
        <w:t>F</w:t>
      </w:r>
      <w:r w:rsidR="00722DDC" w:rsidRPr="00670221">
        <w:rPr>
          <w:lang w:val="en-US"/>
        </w:rPr>
        <w:t>rom</w:t>
      </w:r>
      <w:r w:rsidR="00993F78" w:rsidRPr="00670221">
        <w:rPr>
          <w:lang w:val="en-US"/>
        </w:rPr>
        <w:t xml:space="preserve"> 203</w:t>
      </w:r>
      <w:r w:rsidR="008E7FB4" w:rsidRPr="00670221">
        <w:rPr>
          <w:lang w:val="en-US"/>
        </w:rPr>
        <w:t>5</w:t>
      </w:r>
      <w:r w:rsidR="00722DDC" w:rsidRPr="00670221">
        <w:rPr>
          <w:lang w:val="en-US"/>
        </w:rPr>
        <w:t xml:space="preserve"> onward</w:t>
      </w:r>
      <w:r w:rsidR="0018301A" w:rsidRPr="00670221">
        <w:rPr>
          <w:lang w:val="en-US"/>
        </w:rPr>
        <w:t>s</w:t>
      </w:r>
      <w:r w:rsidR="00993F78" w:rsidRPr="00670221">
        <w:rPr>
          <w:lang w:val="en-US"/>
        </w:rPr>
        <w:t xml:space="preserve">, </w:t>
      </w:r>
      <w:r w:rsidR="00BF4092" w:rsidRPr="00670221">
        <w:rPr>
          <w:lang w:val="en-US"/>
        </w:rPr>
        <w:t>ISPT SOE + FT + DAC</w:t>
      </w:r>
      <w:r w:rsidR="009976D2" w:rsidRPr="00670221">
        <w:rPr>
          <w:lang w:val="en-US"/>
        </w:rPr>
        <w:t xml:space="preserve"> </w:t>
      </w:r>
      <w:r w:rsidR="00BF4092" w:rsidRPr="00670221">
        <w:rPr>
          <w:lang w:val="en-US"/>
        </w:rPr>
        <w:t>(</w:t>
      </w:r>
      <w:r w:rsidR="0016387E" w:rsidRPr="00670221">
        <w:rPr>
          <w:lang w:val="en-US"/>
        </w:rPr>
        <w:t>grey</w:t>
      </w:r>
      <w:r w:rsidR="009976D2" w:rsidRPr="00670221">
        <w:rPr>
          <w:lang w:val="en-US"/>
        </w:rPr>
        <w:t xml:space="preserve"> line</w:t>
      </w:r>
      <w:r w:rsidR="00BF4092" w:rsidRPr="00670221">
        <w:rPr>
          <w:lang w:val="en-US"/>
        </w:rPr>
        <w:t>)</w:t>
      </w:r>
      <w:r w:rsidR="009976D2" w:rsidRPr="00670221">
        <w:rPr>
          <w:lang w:val="en-US"/>
        </w:rPr>
        <w:t xml:space="preserve"> </w:t>
      </w:r>
      <w:r w:rsidR="008E7FB4" w:rsidRPr="00670221">
        <w:rPr>
          <w:lang w:val="en-US"/>
        </w:rPr>
        <w:t>and</w:t>
      </w:r>
      <w:r w:rsidR="009976D2" w:rsidRPr="00670221">
        <w:rPr>
          <w:lang w:val="en-US"/>
        </w:rPr>
        <w:t xml:space="preserve"> PEM + RWGS + FT + DAC</w:t>
      </w:r>
      <w:r w:rsidR="00BF4092" w:rsidRPr="00670221">
        <w:rPr>
          <w:lang w:val="en-US"/>
        </w:rPr>
        <w:t xml:space="preserve"> (</w:t>
      </w:r>
      <w:r w:rsidR="00147037" w:rsidRPr="00670221">
        <w:rPr>
          <w:lang w:val="en-US"/>
        </w:rPr>
        <w:t>dark</w:t>
      </w:r>
      <w:r w:rsidR="00BF4092" w:rsidRPr="00670221">
        <w:rPr>
          <w:lang w:val="en-US"/>
        </w:rPr>
        <w:t xml:space="preserve"> blue</w:t>
      </w:r>
      <w:r w:rsidR="008E7FB4" w:rsidRPr="00670221">
        <w:rPr>
          <w:lang w:val="en-US"/>
        </w:rPr>
        <w:t xml:space="preserve">) </w:t>
      </w:r>
      <w:proofErr w:type="spellStart"/>
      <w:r w:rsidR="001202E3" w:rsidRPr="00670221">
        <w:rPr>
          <w:lang w:val="en-US"/>
        </w:rPr>
        <w:t>exihibits</w:t>
      </w:r>
      <w:proofErr w:type="spellEnd"/>
      <w:r w:rsidR="001202E3" w:rsidRPr="00670221">
        <w:rPr>
          <w:lang w:val="en-US"/>
        </w:rPr>
        <w:t xml:space="preserve"> a similar </w:t>
      </w:r>
      <w:r w:rsidR="006E7C86" w:rsidRPr="00670221">
        <w:rPr>
          <w:lang w:val="en-US"/>
        </w:rPr>
        <w:t xml:space="preserve">converging </w:t>
      </w:r>
      <w:r w:rsidR="001202E3" w:rsidRPr="00670221">
        <w:rPr>
          <w:lang w:val="en-US"/>
        </w:rPr>
        <w:t>pattern</w:t>
      </w:r>
      <w:r w:rsidR="00147037" w:rsidRPr="00670221">
        <w:rPr>
          <w:lang w:val="en-US"/>
        </w:rPr>
        <w:t xml:space="preserve">. </w:t>
      </w:r>
      <w:r w:rsidR="003F5958" w:rsidRPr="00670221">
        <w:rPr>
          <w:lang w:val="en-US"/>
        </w:rPr>
        <w:t xml:space="preserve">In 2050, </w:t>
      </w:r>
      <w:r w:rsidR="00FD44B1" w:rsidRPr="00670221">
        <w:rPr>
          <w:lang w:val="en-US"/>
        </w:rPr>
        <w:t>all 4 technologies</w:t>
      </w:r>
      <w:r w:rsidR="003F5958" w:rsidRPr="00670221">
        <w:rPr>
          <w:lang w:val="en-US"/>
        </w:rPr>
        <w:t xml:space="preserve"> approac</w:t>
      </w:r>
      <w:r w:rsidR="00FD44B1" w:rsidRPr="00670221">
        <w:rPr>
          <w:lang w:val="en-US"/>
        </w:rPr>
        <w:t>h</w:t>
      </w:r>
      <w:r w:rsidR="003F5958" w:rsidRPr="00670221">
        <w:rPr>
          <w:lang w:val="en-US"/>
        </w:rPr>
        <w:t xml:space="preserve"> a similar price point, ranging between 1.75 and 1.80 €/liter, depending on whether DAC is used</w:t>
      </w:r>
      <w:r w:rsidR="007519DE" w:rsidRPr="00670221">
        <w:rPr>
          <w:lang w:val="en-US"/>
        </w:rPr>
        <w:t xml:space="preserve"> or not. </w:t>
      </w:r>
      <w:r w:rsidR="00B52597" w:rsidRPr="00670221">
        <w:rPr>
          <w:lang w:val="en-US"/>
        </w:rPr>
        <w:t xml:space="preserve">From 2034 onwards, grey outperforms its </w:t>
      </w:r>
      <w:r w:rsidR="0078110B" w:rsidRPr="00670221">
        <w:rPr>
          <w:lang w:val="en-US"/>
        </w:rPr>
        <w:t xml:space="preserve">competing solid oxide electrolysis technology </w:t>
      </w:r>
      <w:r w:rsidR="005C3CD6" w:rsidRPr="00670221">
        <w:rPr>
          <w:lang w:val="en-US"/>
        </w:rPr>
        <w:t>coupled with</w:t>
      </w:r>
      <w:r w:rsidR="0078110B" w:rsidRPr="00670221">
        <w:rPr>
          <w:lang w:val="en-US"/>
        </w:rPr>
        <w:t xml:space="preserve"> cheaper </w:t>
      </w:r>
      <w:r w:rsidR="00B52597" w:rsidRPr="00670221">
        <w:rPr>
          <w:lang w:val="en-US"/>
        </w:rPr>
        <w:t>biogenic</w:t>
      </w:r>
      <w:r w:rsidR="0078110B" w:rsidRPr="00670221">
        <w:rPr>
          <w:lang w:val="en-US"/>
        </w:rPr>
        <w:t xml:space="preserve"> CO2 </w:t>
      </w:r>
      <w:r w:rsidR="00147037" w:rsidRPr="00670221">
        <w:rPr>
          <w:lang w:val="en-US"/>
        </w:rPr>
        <w:t>(light blue)</w:t>
      </w:r>
      <w:r w:rsidR="00B52597" w:rsidRPr="00670221">
        <w:rPr>
          <w:lang w:val="en-US"/>
        </w:rPr>
        <w:t>.</w:t>
      </w:r>
      <w:r w:rsidR="0018301A" w:rsidRPr="00670221">
        <w:rPr>
          <w:lang w:val="en-US"/>
        </w:rPr>
        <w:t xml:space="preserve"> </w:t>
      </w:r>
    </w:p>
    <w:p w14:paraId="0C0811D8" w14:textId="77777777" w:rsidR="002A3EA2" w:rsidRPr="00670221" w:rsidRDefault="00D32402" w:rsidP="002A3EA2">
      <w:pPr>
        <w:keepNext/>
        <w:jc w:val="center"/>
        <w:rPr>
          <w:lang w:val="en-US"/>
        </w:rPr>
      </w:pPr>
      <w:r w:rsidRPr="00670221">
        <w:rPr>
          <w:noProof/>
          <w:lang w:val="en-US"/>
        </w:rPr>
        <w:lastRenderedPageBreak/>
        <w:drawing>
          <wp:inline distT="0" distB="0" distL="0" distR="0" wp14:anchorId="6575C389" wp14:editId="64A3A190">
            <wp:extent cx="4572000" cy="3895773"/>
            <wp:effectExtent l="0" t="0" r="0" b="3175"/>
            <wp:docPr id="46504854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8547" name="Picture 1" descr="A graph of different colored lines&#10;&#10;Description automatically generated"/>
                    <pic:cNvPicPr/>
                  </pic:nvPicPr>
                  <pic:blipFill>
                    <a:blip r:embed="rId53"/>
                    <a:stretch>
                      <a:fillRect/>
                    </a:stretch>
                  </pic:blipFill>
                  <pic:spPr>
                    <a:xfrm>
                      <a:off x="0" y="0"/>
                      <a:ext cx="4572000" cy="3895773"/>
                    </a:xfrm>
                    <a:prstGeom prst="rect">
                      <a:avLst/>
                    </a:prstGeom>
                  </pic:spPr>
                </pic:pic>
              </a:graphicData>
            </a:graphic>
          </wp:inline>
        </w:drawing>
      </w:r>
    </w:p>
    <w:p w14:paraId="7A9226B3" w14:textId="55D289CD" w:rsidR="003D3707" w:rsidRPr="00670221" w:rsidRDefault="002A3EA2" w:rsidP="002A3EA2">
      <w:pPr>
        <w:pStyle w:val="Caption"/>
        <w:rPr>
          <w:lang w:val="en-US"/>
        </w:rPr>
      </w:pPr>
      <w:bookmarkStart w:id="119" w:name="_Toc184403571"/>
      <w:r w:rsidRPr="00670221">
        <w:rPr>
          <w:lang w:val="en-US"/>
        </w:rPr>
        <w:t xml:space="preserve">Figure </w:t>
      </w:r>
      <w:r w:rsidRPr="00670221">
        <w:rPr>
          <w:lang w:val="en-US"/>
        </w:rPr>
        <w:fldChar w:fldCharType="begin"/>
      </w:r>
      <w:r w:rsidRPr="00670221">
        <w:rPr>
          <w:lang w:val="en-US"/>
        </w:rPr>
        <w:instrText xml:space="preserve"> STYLEREF 1 \s </w:instrText>
      </w:r>
      <w:r w:rsidRPr="00670221">
        <w:rPr>
          <w:lang w:val="en-US"/>
        </w:rPr>
        <w:fldChar w:fldCharType="separate"/>
      </w:r>
      <w:r w:rsidRPr="00670221">
        <w:rPr>
          <w:lang w:val="en-US"/>
        </w:rPr>
        <w:t>4</w:t>
      </w:r>
      <w:r w:rsidRPr="00670221">
        <w:rPr>
          <w:lang w:val="en-US"/>
        </w:rPr>
        <w:fldChar w:fldCharType="end"/>
      </w:r>
      <w:r w:rsidRPr="00670221">
        <w:rPr>
          <w:lang w:val="en-US"/>
        </w:rPr>
        <w:t>.</w:t>
      </w:r>
      <w:r w:rsidRPr="00670221">
        <w:rPr>
          <w:lang w:val="en-US"/>
        </w:rPr>
        <w:fldChar w:fldCharType="begin"/>
      </w:r>
      <w:r w:rsidRPr="00670221">
        <w:rPr>
          <w:lang w:val="en-US"/>
        </w:rPr>
        <w:instrText xml:space="preserve"> SEQ Figure \* ARABIC \s 1 </w:instrText>
      </w:r>
      <w:r w:rsidRPr="00670221">
        <w:rPr>
          <w:lang w:val="en-US"/>
        </w:rPr>
        <w:fldChar w:fldCharType="separate"/>
      </w:r>
      <w:r w:rsidRPr="00670221">
        <w:rPr>
          <w:lang w:val="en-US"/>
        </w:rPr>
        <w:t>17</w:t>
      </w:r>
      <w:r w:rsidRPr="00670221">
        <w:rPr>
          <w:lang w:val="en-US"/>
        </w:rPr>
        <w:fldChar w:fldCharType="end"/>
      </w:r>
      <w:r w:rsidRPr="00670221">
        <w:rPr>
          <w:lang w:val="en-US"/>
        </w:rPr>
        <w:t>: Levelized cost of e</w:t>
      </w:r>
      <w:r w:rsidR="00C73C13">
        <w:rPr>
          <w:lang w:val="en-US"/>
        </w:rPr>
        <w:t>-</w:t>
      </w:r>
      <w:r w:rsidRPr="00670221">
        <w:rPr>
          <w:lang w:val="en-US"/>
        </w:rPr>
        <w:t xml:space="preserve">fuel with additional solid oxide </w:t>
      </w:r>
      <w:proofErr w:type="spellStart"/>
      <w:proofErr w:type="gramStart"/>
      <w:r w:rsidRPr="00670221">
        <w:rPr>
          <w:lang w:val="en-US"/>
        </w:rPr>
        <w:t>electrolyzer</w:t>
      </w:r>
      <w:proofErr w:type="spellEnd"/>
      <w:proofErr w:type="gramEnd"/>
      <w:r w:rsidRPr="00670221">
        <w:rPr>
          <w:lang w:val="en-US"/>
        </w:rPr>
        <w:t xml:space="preserve"> and lifetime of all SOE technologies extended to 20 years</w:t>
      </w:r>
      <w:bookmarkEnd w:id="119"/>
    </w:p>
    <w:p w14:paraId="1B3A78F4" w14:textId="589C2128" w:rsidR="00C80FF9" w:rsidRPr="00670221" w:rsidRDefault="00A45948" w:rsidP="003D3707">
      <w:pPr>
        <w:rPr>
          <w:lang w:val="en-US"/>
        </w:rPr>
      </w:pPr>
      <w:r w:rsidRPr="00670221">
        <w:rPr>
          <w:lang w:val="en-US"/>
        </w:rPr>
        <w:t xml:space="preserve">The ISPT report identified cell degradation as a critical factor in reducing costs (van ’t </w:t>
      </w:r>
      <w:proofErr w:type="spellStart"/>
      <w:r w:rsidRPr="00670221">
        <w:rPr>
          <w:lang w:val="en-US"/>
        </w:rPr>
        <w:t>Noordende</w:t>
      </w:r>
      <w:proofErr w:type="spellEnd"/>
      <w:r w:rsidRPr="00670221">
        <w:rPr>
          <w:lang w:val="en-US"/>
        </w:rPr>
        <w:t xml:space="preserve"> et al., 2023). This directly impacts </w:t>
      </w:r>
      <w:proofErr w:type="spellStart"/>
      <w:r w:rsidRPr="00670221">
        <w:rPr>
          <w:lang w:val="en-US"/>
        </w:rPr>
        <w:t>electrolyzer</w:t>
      </w:r>
      <w:proofErr w:type="spellEnd"/>
      <w:r w:rsidRPr="00670221">
        <w:rPr>
          <w:lang w:val="en-US"/>
        </w:rPr>
        <w:t xml:space="preserve"> CAPEX, the second-largest cost component after OPEX, as it determines the operational lifetime of the technology. </w:t>
      </w:r>
      <w:r w:rsidR="00404A62" w:rsidRPr="00670221">
        <w:rPr>
          <w:lang w:val="en-US"/>
        </w:rPr>
        <w:t>In</w:t>
      </w:r>
      <w:r w:rsidR="00C80FF9" w:rsidRPr="00670221">
        <w:rPr>
          <w:lang w:val="en-US"/>
        </w:rPr>
        <w:t xml:space="preserve"> the graph above, the assumption of an extended SOE technology lifetime from 10 to 20 years has been made to enable a more </w:t>
      </w:r>
      <w:r w:rsidR="00216AF6" w:rsidRPr="00670221">
        <w:rPr>
          <w:lang w:val="en-US"/>
        </w:rPr>
        <w:t>equal</w:t>
      </w:r>
      <w:r w:rsidR="00C80FF9" w:rsidRPr="00670221">
        <w:rPr>
          <w:lang w:val="en-US"/>
        </w:rPr>
        <w:t xml:space="preserve"> comparison with PEM</w:t>
      </w:r>
      <w:r w:rsidR="00216AF6" w:rsidRPr="00670221">
        <w:rPr>
          <w:lang w:val="en-US"/>
        </w:rPr>
        <w:t xml:space="preserve"> technologies</w:t>
      </w:r>
      <w:r w:rsidR="00C80FF9" w:rsidRPr="00670221">
        <w:rPr>
          <w:lang w:val="en-US"/>
        </w:rPr>
        <w:t xml:space="preserve">. As a result of this extended lifetime, OPEX has been </w:t>
      </w:r>
      <w:r w:rsidR="00404A62" w:rsidRPr="00670221">
        <w:rPr>
          <w:lang w:val="en-US"/>
        </w:rPr>
        <w:t xml:space="preserve">also </w:t>
      </w:r>
      <w:r w:rsidR="00C80FF9" w:rsidRPr="00670221">
        <w:rPr>
          <w:lang w:val="en-US"/>
        </w:rPr>
        <w:t xml:space="preserve">adjusted to account for necessary stack replacements, </w:t>
      </w:r>
      <w:proofErr w:type="gramStart"/>
      <w:r w:rsidR="00C80FF9" w:rsidRPr="00670221">
        <w:rPr>
          <w:lang w:val="en-US"/>
        </w:rPr>
        <w:t>similar to</w:t>
      </w:r>
      <w:proofErr w:type="gramEnd"/>
      <w:r w:rsidR="00C80FF9" w:rsidRPr="00670221">
        <w:rPr>
          <w:lang w:val="en-US"/>
        </w:rPr>
        <w:t xml:space="preserve"> the PEM approach.</w:t>
      </w:r>
      <w:r w:rsidR="00D02C76" w:rsidRPr="00670221">
        <w:rPr>
          <w:lang w:val="en-US"/>
        </w:rPr>
        <w:t xml:space="preserve"> Figure 4.17 shows </w:t>
      </w:r>
      <w:r w:rsidR="00C44E69" w:rsidRPr="00670221">
        <w:rPr>
          <w:lang w:val="en-US"/>
        </w:rPr>
        <w:t xml:space="preserve">how </w:t>
      </w:r>
      <w:r w:rsidR="00D02C76" w:rsidRPr="00670221">
        <w:rPr>
          <w:lang w:val="en-US"/>
        </w:rPr>
        <w:t>th</w:t>
      </w:r>
      <w:r w:rsidR="00C44E69" w:rsidRPr="00670221">
        <w:rPr>
          <w:lang w:val="en-US"/>
        </w:rPr>
        <w:t>i</w:t>
      </w:r>
      <w:r w:rsidR="00D02C76" w:rsidRPr="00670221">
        <w:rPr>
          <w:lang w:val="en-US"/>
        </w:rPr>
        <w:t>s assumption result</w:t>
      </w:r>
      <w:r w:rsidR="00C44E69" w:rsidRPr="00670221">
        <w:rPr>
          <w:lang w:val="en-US"/>
        </w:rPr>
        <w:t>s</w:t>
      </w:r>
      <w:r w:rsidR="00D02C76" w:rsidRPr="00670221">
        <w:rPr>
          <w:lang w:val="en-US"/>
        </w:rPr>
        <w:t xml:space="preserve"> in ISPT SOE + FT + BIO</w:t>
      </w:r>
      <w:r w:rsidR="00C44E69" w:rsidRPr="00670221">
        <w:rPr>
          <w:lang w:val="en-US"/>
        </w:rPr>
        <w:t xml:space="preserve"> (green line)</w:t>
      </w:r>
      <w:r w:rsidR="00D02C76" w:rsidRPr="00670221">
        <w:rPr>
          <w:lang w:val="en-US"/>
        </w:rPr>
        <w:t xml:space="preserve"> having the lowest levelized cost of e-fuel from 2027 onwards, reaching a low of 1.73 €/liter by 2050.</w:t>
      </w:r>
      <w:r w:rsidR="00500AB0" w:rsidRPr="00670221">
        <w:rPr>
          <w:lang w:val="en-US"/>
        </w:rPr>
        <w:t xml:space="preserve"> </w:t>
      </w:r>
    </w:p>
    <w:p w14:paraId="26EEE9DC" w14:textId="77777777" w:rsidR="005E18DE" w:rsidRDefault="005E18DE" w:rsidP="005E18DE">
      <w:pPr>
        <w:spacing w:before="0" w:after="0"/>
        <w:rPr>
          <w:lang w:val="en-US"/>
        </w:rPr>
      </w:pPr>
    </w:p>
    <w:p w14:paraId="1ECDBA84" w14:textId="25D7E680" w:rsidR="005E18DE" w:rsidRDefault="005E18DE" w:rsidP="005E18DE">
      <w:pPr>
        <w:pStyle w:val="Heading2"/>
      </w:pPr>
      <w:bookmarkStart w:id="120" w:name="_Toc184403462"/>
      <w:r>
        <w:t>Wrap up</w:t>
      </w:r>
      <w:bookmarkEnd w:id="120"/>
    </w:p>
    <w:p w14:paraId="5D70E831" w14:textId="7487F4F8" w:rsidR="00C80FF9" w:rsidRPr="00670221" w:rsidRDefault="005E18DE" w:rsidP="005E18DE">
      <w:pPr>
        <w:spacing w:before="0" w:after="0"/>
        <w:rPr>
          <w:lang w:val="en-US"/>
        </w:rPr>
      </w:pPr>
      <w:r w:rsidRPr="005E18DE">
        <w:rPr>
          <w:lang w:val="en-US"/>
        </w:rPr>
        <w:t>Chapter 4 presented the core findings of the thesis, addressing the techno-economic performance and cost drivers of sustainable aviation fuel (SAF) production pathways. The chapter evaluated competing technologies based on the levelized costs of fuel, incorporating direct air capture (DAC) and biogenic CO₂ sources while comparing electrolysis and synthesis technologies, such as proton exchange membrane (PEM) electrolysis, solid oxide electrolysis (SOE), and Fischer-</w:t>
      </w:r>
      <w:proofErr w:type="spellStart"/>
      <w:r w:rsidRPr="005E18DE">
        <w:rPr>
          <w:lang w:val="en-US"/>
        </w:rPr>
        <w:t>Tropsch</w:t>
      </w:r>
      <w:proofErr w:type="spellEnd"/>
      <w:r w:rsidRPr="005E18DE">
        <w:rPr>
          <w:lang w:val="en-US"/>
        </w:rPr>
        <w:t xml:space="preserve"> (FT) synthesis. It detailed the underlying assumptions, model framework, and cost components, including carbon sourcing, purification, and transport. Sensitivity analyses highlighted the impact of factors such as electricity price, operational hours, and technology lifetimes on SAF costs. The results revealed key cost drivers, with DAC-related CO₂ costs and electrolysis expenditures </w:t>
      </w:r>
      <w:proofErr w:type="gramStart"/>
      <w:r w:rsidRPr="005E18DE">
        <w:rPr>
          <w:lang w:val="en-US"/>
        </w:rPr>
        <w:t>dominating, and</w:t>
      </w:r>
      <w:proofErr w:type="gramEnd"/>
      <w:r w:rsidRPr="005E18DE">
        <w:rPr>
          <w:lang w:val="en-US"/>
        </w:rPr>
        <w:t xml:space="preserve"> identified PEM as the most cost-effective electrolysis technology under the given assumptions. The chapter concluded </w:t>
      </w:r>
      <w:r w:rsidRPr="005E18DE">
        <w:rPr>
          <w:lang w:val="en-US"/>
        </w:rPr>
        <w:lastRenderedPageBreak/>
        <w:t>with insights into how advancements in DAC, SOE, and CO₂ efficiencies could influence the future competitiveness of SAF pathways.</w:t>
      </w:r>
      <w:r w:rsidR="00C80FF9" w:rsidRPr="00670221">
        <w:rPr>
          <w:lang w:val="en-US"/>
        </w:rPr>
        <w:br w:type="page"/>
      </w:r>
    </w:p>
    <w:p w14:paraId="02EDD397" w14:textId="6AFA34B9" w:rsidR="00A53D55" w:rsidRDefault="00487851" w:rsidP="00A53D55">
      <w:pPr>
        <w:pStyle w:val="Heading1"/>
      </w:pPr>
      <w:bookmarkStart w:id="121" w:name="_Toc184403463"/>
      <w:r w:rsidRPr="00670221">
        <w:lastRenderedPageBreak/>
        <w:t>Discussion</w:t>
      </w:r>
      <w:bookmarkEnd w:id="121"/>
    </w:p>
    <w:p w14:paraId="3F9632E6" w14:textId="77777777" w:rsidR="00BC298F" w:rsidRPr="00BC298F" w:rsidRDefault="00BC298F" w:rsidP="00BC298F">
      <w:pPr>
        <w:rPr>
          <w:lang w:val="en-US"/>
        </w:rPr>
      </w:pPr>
    </w:p>
    <w:p w14:paraId="031B6606" w14:textId="51B60EFD" w:rsidR="00A53D55" w:rsidRDefault="00001189" w:rsidP="00001189">
      <w:pPr>
        <w:rPr>
          <w:lang w:val="en-US"/>
        </w:rPr>
      </w:pPr>
      <w:r w:rsidRPr="00670221">
        <w:rPr>
          <w:lang w:val="en-US"/>
        </w:rPr>
        <w:t>5.1 delves into the interpretation of the results, providing an analysis of the findings from both the socio-technical and techno-economic perspectives. Following this, the methodology and data are critically examined</w:t>
      </w:r>
      <w:r w:rsidR="0096634D" w:rsidRPr="00670221">
        <w:rPr>
          <w:lang w:val="en-US"/>
        </w:rPr>
        <w:t xml:space="preserve"> in 5.2</w:t>
      </w:r>
      <w:r w:rsidRPr="00670221">
        <w:rPr>
          <w:lang w:val="en-US"/>
        </w:rPr>
        <w:t>, with separate reflections on the limitations encountered in the socio-technical and techno-economic analyses. Concluding in 5.3</w:t>
      </w:r>
      <w:r w:rsidR="00DA30FB">
        <w:rPr>
          <w:lang w:val="en-US"/>
        </w:rPr>
        <w:t xml:space="preserve"> </w:t>
      </w:r>
      <w:r w:rsidR="00DA30FB" w:rsidRPr="00DA30FB">
        <w:rPr>
          <w:lang w:val="en-US"/>
        </w:rPr>
        <w:t>discusses the academic relevance of the study and identifies future research areas that could substantiate the conclusions or broaden the scope of this research.</w:t>
      </w:r>
    </w:p>
    <w:p w14:paraId="496652E7" w14:textId="77777777" w:rsidR="00BC298F" w:rsidRPr="00670221" w:rsidRDefault="00BC298F" w:rsidP="00001189">
      <w:pPr>
        <w:rPr>
          <w:lang w:val="en-US"/>
        </w:rPr>
      </w:pPr>
    </w:p>
    <w:p w14:paraId="40A782B9" w14:textId="275F0274" w:rsidR="004004DC" w:rsidRPr="00670221" w:rsidRDefault="0012703D" w:rsidP="004004DC">
      <w:pPr>
        <w:pStyle w:val="Heading2"/>
      </w:pPr>
      <w:bookmarkStart w:id="122" w:name="_Toc184403464"/>
      <w:r w:rsidRPr="00670221">
        <w:t xml:space="preserve">Interpreting </w:t>
      </w:r>
      <w:r w:rsidR="00A5702C" w:rsidRPr="00670221">
        <w:t>R</w:t>
      </w:r>
      <w:r w:rsidRPr="00670221">
        <w:t>esults</w:t>
      </w:r>
      <w:bookmarkEnd w:id="122"/>
    </w:p>
    <w:p w14:paraId="5590E809" w14:textId="47F751AD" w:rsidR="00315D64" w:rsidRPr="00670221" w:rsidRDefault="00315D64" w:rsidP="008D5398">
      <w:pPr>
        <w:pStyle w:val="Heading3"/>
      </w:pPr>
      <w:bookmarkStart w:id="123" w:name="_Toc184403465"/>
      <w:r w:rsidRPr="00670221">
        <w:t xml:space="preserve">General </w:t>
      </w:r>
      <w:r w:rsidR="00AB66DD">
        <w:t>R</w:t>
      </w:r>
      <w:r w:rsidRPr="00670221">
        <w:t>emarks</w:t>
      </w:r>
      <w:bookmarkEnd w:id="123"/>
    </w:p>
    <w:p w14:paraId="21444CC1" w14:textId="3DAD18AD" w:rsidR="00F66637" w:rsidRPr="00670221" w:rsidRDefault="00F66637" w:rsidP="00DC4D60">
      <w:pPr>
        <w:rPr>
          <w:lang w:val="en-US"/>
        </w:rPr>
      </w:pPr>
      <w:r w:rsidRPr="00670221">
        <w:rPr>
          <w:lang w:val="en-US"/>
        </w:rPr>
        <w:t xml:space="preserve">While the technologies included in the techno-economic analysis were derived from the socio-technical analysis, the costs of alternative technologies were not modeled. Consequently, it cannot be definitively stated that the most cost-effective option is among the technologies analyzed here, particularly given the limitations of the socio-technical analysis, which will be discussed later in this chapter. For a thorough assessment, it is essential to evaluate the costs of other </w:t>
      </w:r>
      <w:r w:rsidR="000119AA" w:rsidRPr="00670221">
        <w:rPr>
          <w:lang w:val="en-US"/>
        </w:rPr>
        <w:t>potentially viable</w:t>
      </w:r>
      <w:r w:rsidRPr="00670221">
        <w:rPr>
          <w:lang w:val="en-US"/>
        </w:rPr>
        <w:t xml:space="preserve"> technologies as well. Preliminary analysis suggests that CSP holds high potential and should be further investigated prior to making investment decisions, ensuring a comprehensive consideration of cost-effective SAF options.</w:t>
      </w:r>
      <w:r w:rsidR="004B2EF9" w:rsidRPr="00670221">
        <w:rPr>
          <w:lang w:val="en-US"/>
        </w:rPr>
        <w:t xml:space="preserve"> </w:t>
      </w:r>
      <w:r w:rsidR="008D1A7C" w:rsidRPr="00670221">
        <w:rPr>
          <w:lang w:val="en-US"/>
        </w:rPr>
        <w:t xml:space="preserve">Additionally, methanol pathways should be assessed as it is possible this </w:t>
      </w:r>
      <w:r w:rsidR="00DA42FA" w:rsidRPr="00670221">
        <w:rPr>
          <w:lang w:val="en-US"/>
        </w:rPr>
        <w:t>technology</w:t>
      </w:r>
      <w:r w:rsidR="008D1A7C" w:rsidRPr="00670221">
        <w:rPr>
          <w:lang w:val="en-US"/>
        </w:rPr>
        <w:t xml:space="preserve"> is certified </w:t>
      </w:r>
      <w:r w:rsidR="00ED4961" w:rsidRPr="00670221">
        <w:rPr>
          <w:lang w:val="en-US"/>
        </w:rPr>
        <w:t>soon</w:t>
      </w:r>
      <w:r w:rsidR="00B952FB" w:rsidRPr="00670221">
        <w:rPr>
          <w:lang w:val="en-US"/>
        </w:rPr>
        <w:t xml:space="preserve"> (</w:t>
      </w:r>
      <w:proofErr w:type="spellStart"/>
      <w:r w:rsidR="00B952FB" w:rsidRPr="00670221">
        <w:rPr>
          <w:lang w:val="en-US"/>
        </w:rPr>
        <w:t>Eyberg</w:t>
      </w:r>
      <w:proofErr w:type="spellEnd"/>
      <w:r w:rsidR="00B952FB" w:rsidRPr="00670221">
        <w:rPr>
          <w:lang w:val="en-US"/>
        </w:rPr>
        <w:t xml:space="preserve"> et al., 2024)</w:t>
      </w:r>
      <w:r w:rsidR="008D1A7C" w:rsidRPr="00670221">
        <w:rPr>
          <w:lang w:val="en-US"/>
        </w:rPr>
        <w:t>.</w:t>
      </w:r>
    </w:p>
    <w:p w14:paraId="6DC7FBAA" w14:textId="5F0EF03D" w:rsidR="009672F9" w:rsidRPr="00670221" w:rsidRDefault="007349BE" w:rsidP="00DC4D60">
      <w:pPr>
        <w:rPr>
          <w:lang w:val="en-US"/>
        </w:rPr>
      </w:pPr>
      <w:r w:rsidRPr="00670221">
        <w:rPr>
          <w:lang w:val="en-US"/>
        </w:rPr>
        <w:t xml:space="preserve">The analysis found that the most feasible short-term option for </w:t>
      </w:r>
      <w:proofErr w:type="spellStart"/>
      <w:r w:rsidRPr="00670221">
        <w:rPr>
          <w:lang w:val="en-US"/>
        </w:rPr>
        <w:t>eSAF</w:t>
      </w:r>
      <w:proofErr w:type="spellEnd"/>
      <w:r w:rsidRPr="00670221">
        <w:rPr>
          <w:lang w:val="en-US"/>
        </w:rPr>
        <w:t xml:space="preserve"> production is locating plants in regions with an electricity grid with over 90% renewables, like Norway or Iceland. However, not all projects can be situated in these areas due to the need for increased capacity. While self-generating renewable energy could be cheaper than grid purchases, it requires costly storage, and intermittent operation may be more economical, though this has not been analyzed alongside capital-intensive DAC.</w:t>
      </w:r>
    </w:p>
    <w:p w14:paraId="2FE0F1B6" w14:textId="72513AB8" w:rsidR="00237D52" w:rsidRPr="00670221" w:rsidRDefault="00D06C83" w:rsidP="008F4AD7">
      <w:pPr>
        <w:rPr>
          <w:lang w:val="en-US"/>
        </w:rPr>
      </w:pPr>
      <w:r w:rsidRPr="00670221">
        <w:rPr>
          <w:lang w:val="en-US"/>
        </w:rPr>
        <w:t xml:space="preserve">In the future, coupling </w:t>
      </w:r>
      <w:proofErr w:type="spellStart"/>
      <w:r w:rsidRPr="00670221">
        <w:rPr>
          <w:lang w:val="en-US"/>
        </w:rPr>
        <w:t>eSAF</w:t>
      </w:r>
      <w:proofErr w:type="spellEnd"/>
      <w:r w:rsidRPr="00670221">
        <w:rPr>
          <w:lang w:val="en-US"/>
        </w:rPr>
        <w:t xml:space="preserve"> production with nuclear energy should be reconsidered, given the EU’s pressing need to expand grid capacity to meet 2050 aviation mandates. This raises the question of whether allocating the currently limited renewable electricity supply for CO₂ capture from air is the most efficient approach, particularly when CO₂ from hard-to-abate sectors is readily available and being emitted. Our analysis indicated that this approach is economically viable under the modeled DAC technological advancements and projected increases in EU ETS prices.</w:t>
      </w:r>
      <w:r w:rsidR="0005146F" w:rsidRPr="00670221">
        <w:rPr>
          <w:lang w:val="en-US"/>
        </w:rPr>
        <w:t xml:space="preserve"> </w:t>
      </w:r>
      <w:r w:rsidR="00237D52" w:rsidRPr="00670221">
        <w:rPr>
          <w:lang w:val="en-US"/>
        </w:rPr>
        <w:t>However, the potential for future regulatory adjustments to stabilize the EU ETS market could undermine the economic case for DAC (</w:t>
      </w:r>
      <w:proofErr w:type="spellStart"/>
      <w:r w:rsidR="00237D52" w:rsidRPr="00670221">
        <w:rPr>
          <w:lang w:val="en-US"/>
        </w:rPr>
        <w:t>Kopernikus</w:t>
      </w:r>
      <w:proofErr w:type="spellEnd"/>
      <w:r w:rsidR="00237D52" w:rsidRPr="00670221">
        <w:rPr>
          <w:lang w:val="en-US"/>
        </w:rPr>
        <w:t>-Projekt Ariadne, 2023). Furthermore, economic viability d</w:t>
      </w:r>
      <w:r w:rsidR="00AE3000" w:rsidRPr="00670221">
        <w:rPr>
          <w:lang w:val="en-US"/>
        </w:rPr>
        <w:t>oe</w:t>
      </w:r>
      <w:r w:rsidR="005169B8" w:rsidRPr="00670221">
        <w:rPr>
          <w:lang w:val="en-US"/>
        </w:rPr>
        <w:t>s</w:t>
      </w:r>
      <w:r w:rsidR="00237D52" w:rsidRPr="00670221">
        <w:rPr>
          <w:lang w:val="en-US"/>
        </w:rPr>
        <w:t xml:space="preserve"> not </w:t>
      </w:r>
      <w:r w:rsidR="005169B8" w:rsidRPr="00670221">
        <w:rPr>
          <w:lang w:val="en-US"/>
        </w:rPr>
        <w:t>imply greater</w:t>
      </w:r>
      <w:r w:rsidR="00237D52" w:rsidRPr="00670221">
        <w:rPr>
          <w:lang w:val="en-US"/>
        </w:rPr>
        <w:t xml:space="preserve"> CO₂ reduction potential, as greater reductions could be achieved by capturing fossil CO₂ from point sources and directly using renewable electricity in alternatives like electric vehicles.</w:t>
      </w:r>
    </w:p>
    <w:p w14:paraId="5F0E938D" w14:textId="70EAC42C" w:rsidR="008F4AD7" w:rsidRPr="00670221" w:rsidRDefault="00CA7F73" w:rsidP="008F4AD7">
      <w:pPr>
        <w:rPr>
          <w:lang w:val="en-US"/>
        </w:rPr>
      </w:pPr>
      <w:r w:rsidRPr="00CA7F73">
        <w:rPr>
          <w:lang w:val="en-US"/>
        </w:rPr>
        <w:t xml:space="preserve">The IPCC climate plan incorporates DAC as a crucial measure to address historical emissions and mitigate temperature overshoots resulting from delayed transitions (Masson-Delmotte et </w:t>
      </w:r>
      <w:r w:rsidRPr="00CA7F73">
        <w:rPr>
          <w:lang w:val="en-US"/>
        </w:rPr>
        <w:lastRenderedPageBreak/>
        <w:t>al., 2018). Similarly, IATA emphasizes the necessity of removing 500 million tons of carbon annually to offset aviation emissions, highlighting a role for DAC specifically for permanent removal, excluding its use in fuel production (Appendix E).</w:t>
      </w:r>
      <w:r>
        <w:rPr>
          <w:lang w:val="en-US"/>
        </w:rPr>
        <w:t xml:space="preserve"> </w:t>
      </w:r>
      <w:r w:rsidR="008F4AD7" w:rsidRPr="00670221">
        <w:rPr>
          <w:lang w:val="en-US"/>
        </w:rPr>
        <w:t xml:space="preserve">In a net-zero framework, scaling both DAC and fossil CO₂ capture—whether for </w:t>
      </w:r>
      <w:proofErr w:type="spellStart"/>
      <w:r w:rsidR="008F4AD7" w:rsidRPr="00670221">
        <w:rPr>
          <w:lang w:val="en-US"/>
        </w:rPr>
        <w:t>eSAF</w:t>
      </w:r>
      <w:proofErr w:type="spellEnd"/>
      <w:r w:rsidR="008F4AD7" w:rsidRPr="00670221">
        <w:rPr>
          <w:lang w:val="en-US"/>
        </w:rPr>
        <w:t xml:space="preserve"> production or carbon storage—is critical to achieving overall emissions reductions. However, once transitional fossil CO₂ is no longer permitted, DAC </w:t>
      </w:r>
      <w:r w:rsidR="00571564" w:rsidRPr="00670221">
        <w:rPr>
          <w:lang w:val="en-US"/>
        </w:rPr>
        <w:t>should</w:t>
      </w:r>
      <w:r w:rsidR="008F4AD7" w:rsidRPr="00670221">
        <w:rPr>
          <w:lang w:val="en-US"/>
        </w:rPr>
        <w:t xml:space="preserve"> </w:t>
      </w:r>
      <w:r w:rsidR="00571564" w:rsidRPr="00670221">
        <w:rPr>
          <w:lang w:val="en-US"/>
        </w:rPr>
        <w:t xml:space="preserve">already </w:t>
      </w:r>
      <w:r w:rsidR="008F4AD7" w:rsidRPr="00670221">
        <w:rPr>
          <w:lang w:val="en-US"/>
        </w:rPr>
        <w:t xml:space="preserve">be developed and scaled to ensure the continued economic viability of </w:t>
      </w:r>
      <w:proofErr w:type="spellStart"/>
      <w:r w:rsidR="008F4AD7" w:rsidRPr="00670221">
        <w:rPr>
          <w:lang w:val="en-US"/>
        </w:rPr>
        <w:t>eSAF</w:t>
      </w:r>
      <w:proofErr w:type="spellEnd"/>
      <w:r w:rsidR="008F4AD7" w:rsidRPr="00670221">
        <w:rPr>
          <w:lang w:val="en-US"/>
        </w:rPr>
        <w:t xml:space="preserve"> production. Identifying locations without alternative CO₂ sources strengthens the business case for DAC</w:t>
      </w:r>
      <w:r w:rsidR="00065832" w:rsidRPr="00670221">
        <w:rPr>
          <w:lang w:val="en-US"/>
        </w:rPr>
        <w:t>.</w:t>
      </w:r>
    </w:p>
    <w:p w14:paraId="170CBC50" w14:textId="4297B58C" w:rsidR="00065832" w:rsidRPr="00670221" w:rsidRDefault="00B57B85" w:rsidP="008F4AD7">
      <w:pPr>
        <w:rPr>
          <w:lang w:val="en-US"/>
        </w:rPr>
      </w:pPr>
      <w:r w:rsidRPr="00670221">
        <w:rPr>
          <w:lang w:val="en-US"/>
        </w:rPr>
        <w:t xml:space="preserve">That said, discussions around </w:t>
      </w:r>
      <w:proofErr w:type="spellStart"/>
      <w:r w:rsidRPr="00670221">
        <w:rPr>
          <w:lang w:val="en-US"/>
        </w:rPr>
        <w:t>eSAF</w:t>
      </w:r>
      <w:proofErr w:type="spellEnd"/>
      <w:r w:rsidRPr="00670221">
        <w:rPr>
          <w:lang w:val="en-US"/>
        </w:rPr>
        <w:t xml:space="preserve"> production should focus more on hydrogen production rather than DAC usage relative to other CO₂ sources. </w:t>
      </w:r>
      <w:proofErr w:type="spellStart"/>
      <w:r w:rsidRPr="00670221">
        <w:rPr>
          <w:lang w:val="en-US"/>
        </w:rPr>
        <w:t>Electrolyzers</w:t>
      </w:r>
      <w:proofErr w:type="spellEnd"/>
      <w:r w:rsidRPr="00670221">
        <w:rPr>
          <w:lang w:val="en-US"/>
        </w:rPr>
        <w:t xml:space="preserve">, required for hydrogen production, are extremely energy-intensive and account for </w:t>
      </w:r>
      <w:proofErr w:type="gramStart"/>
      <w:r w:rsidRPr="00670221">
        <w:rPr>
          <w:lang w:val="en-US"/>
        </w:rPr>
        <w:t>the majority of</w:t>
      </w:r>
      <w:proofErr w:type="gramEnd"/>
      <w:r w:rsidRPr="00670221">
        <w:rPr>
          <w:lang w:val="en-US"/>
        </w:rPr>
        <w:t xml:space="preserve"> renewable energy demand in </w:t>
      </w:r>
      <w:proofErr w:type="spellStart"/>
      <w:r w:rsidRPr="00670221">
        <w:rPr>
          <w:lang w:val="en-US"/>
        </w:rPr>
        <w:t>eSAF</w:t>
      </w:r>
      <w:proofErr w:type="spellEnd"/>
      <w:r w:rsidRPr="00670221">
        <w:rPr>
          <w:lang w:val="en-US"/>
        </w:rPr>
        <w:t xml:space="preserve"> production. In contrast, DAC consumes significantly less electricity and will remain essential for scaling net-negative emissions technologies to address historical emissions and mitigate temperature overshoots.</w:t>
      </w:r>
      <w:r w:rsidR="000F03A8" w:rsidRPr="00670221">
        <w:rPr>
          <w:lang w:val="en-US"/>
        </w:rPr>
        <w:t xml:space="preserve"> </w:t>
      </w:r>
      <w:r w:rsidR="008C6A9B" w:rsidRPr="008C6A9B">
        <w:rPr>
          <w:lang w:val="en-US"/>
        </w:rPr>
        <w:t>Efficiently allocating renewable energy resources to decarbonization efforts with the highest global warming reduction potential, alongside expanding renewable energy capacity, is essentia</w:t>
      </w:r>
      <w:r w:rsidR="00EB346E">
        <w:rPr>
          <w:lang w:val="en-US"/>
        </w:rPr>
        <w:t>l</w:t>
      </w:r>
      <w:r w:rsidR="008C6A9B" w:rsidRPr="008C6A9B">
        <w:rPr>
          <w:lang w:val="en-US"/>
        </w:rPr>
        <w:t xml:space="preserve">. This is particularly important for energy-intensive and relatively inefficient processes such as </w:t>
      </w:r>
      <w:proofErr w:type="spellStart"/>
      <w:r w:rsidR="008C6A9B" w:rsidRPr="008C6A9B">
        <w:rPr>
          <w:lang w:val="en-US"/>
        </w:rPr>
        <w:t>eSAF</w:t>
      </w:r>
      <w:proofErr w:type="spellEnd"/>
      <w:r w:rsidR="008C6A9B" w:rsidRPr="008C6A9B">
        <w:rPr>
          <w:lang w:val="en-US"/>
        </w:rPr>
        <w:t xml:space="preserve"> production (Appendix F).</w:t>
      </w:r>
    </w:p>
    <w:p w14:paraId="20E25113" w14:textId="77777777" w:rsidR="008D5398" w:rsidRPr="00670221" w:rsidRDefault="008D5398" w:rsidP="008F4AD7">
      <w:pPr>
        <w:rPr>
          <w:lang w:val="en-US"/>
        </w:rPr>
      </w:pPr>
    </w:p>
    <w:p w14:paraId="716D8120" w14:textId="27DA6BA7" w:rsidR="00315D64" w:rsidRPr="00670221" w:rsidRDefault="00315D64" w:rsidP="008D5398">
      <w:pPr>
        <w:pStyle w:val="Heading3"/>
      </w:pPr>
      <w:bookmarkStart w:id="124" w:name="_Toc184403466"/>
      <w:r w:rsidRPr="00670221">
        <w:t>Techno-Economic Analysis</w:t>
      </w:r>
      <w:bookmarkEnd w:id="124"/>
    </w:p>
    <w:p w14:paraId="7DECCC03" w14:textId="1C843537" w:rsidR="00F60E7B" w:rsidRPr="00670221" w:rsidRDefault="00F60E7B" w:rsidP="008F4AD7">
      <w:pPr>
        <w:rPr>
          <w:lang w:val="en-US"/>
        </w:rPr>
      </w:pPr>
      <w:r w:rsidRPr="00670221">
        <w:rPr>
          <w:lang w:val="en-US"/>
        </w:rPr>
        <w:t xml:space="preserve">The techno-economic analysis assessed the levelized cost of </w:t>
      </w:r>
      <w:proofErr w:type="spellStart"/>
      <w:r w:rsidRPr="00670221">
        <w:rPr>
          <w:lang w:val="en-US"/>
        </w:rPr>
        <w:t>eSAF</w:t>
      </w:r>
      <w:proofErr w:type="spellEnd"/>
      <w:r w:rsidRPr="00670221">
        <w:rPr>
          <w:lang w:val="en-US"/>
        </w:rPr>
        <w:t xml:space="preserve"> in €/liter, comparing it with the cost of fossil kerosene including EU ETS costs. The objective was to identify the most cost-effective </w:t>
      </w:r>
      <w:proofErr w:type="spellStart"/>
      <w:r w:rsidRPr="00670221">
        <w:rPr>
          <w:lang w:val="en-US"/>
        </w:rPr>
        <w:t>eSAF</w:t>
      </w:r>
      <w:proofErr w:type="spellEnd"/>
      <w:r w:rsidRPr="00670221">
        <w:rPr>
          <w:lang w:val="en-US"/>
        </w:rPr>
        <w:t xml:space="preserve"> </w:t>
      </w:r>
      <w:r w:rsidR="003105F4" w:rsidRPr="00670221">
        <w:rPr>
          <w:lang w:val="en-US"/>
        </w:rPr>
        <w:t>technologies</w:t>
      </w:r>
      <w:r w:rsidRPr="00670221">
        <w:rPr>
          <w:lang w:val="en-US"/>
        </w:rPr>
        <w:t xml:space="preserve"> over time, factoring in technological progress and evolving policies. </w:t>
      </w:r>
      <w:r w:rsidR="004318A4" w:rsidRPr="00670221">
        <w:rPr>
          <w:lang w:val="en-US"/>
        </w:rPr>
        <w:t xml:space="preserve">The most economical </w:t>
      </w:r>
      <w:r w:rsidR="003105F4" w:rsidRPr="00670221">
        <w:rPr>
          <w:lang w:val="en-US"/>
        </w:rPr>
        <w:t>technology</w:t>
      </w:r>
      <w:r w:rsidR="004318A4" w:rsidRPr="00670221">
        <w:rPr>
          <w:lang w:val="en-US"/>
        </w:rPr>
        <w:t>, PEM + RWGS + FT with biogenic CO₂, was priced at €2.27/liter and consistently remained the least expensive option, though still 4 to 5 times higher than the cost of fossil jet fuel.</w:t>
      </w:r>
      <w:r w:rsidR="00EA3B11" w:rsidRPr="00670221">
        <w:rPr>
          <w:lang w:val="en-US"/>
        </w:rPr>
        <w:t xml:space="preserve"> </w:t>
      </w:r>
      <w:r w:rsidRPr="00670221">
        <w:rPr>
          <w:lang w:val="en-US"/>
        </w:rPr>
        <w:t>In contrast, DAC combined with co-electrolysis and Fischer-</w:t>
      </w:r>
      <w:proofErr w:type="spellStart"/>
      <w:r w:rsidRPr="00670221">
        <w:rPr>
          <w:lang w:val="en-US"/>
        </w:rPr>
        <w:t>Tropsch</w:t>
      </w:r>
      <w:proofErr w:type="spellEnd"/>
      <w:r w:rsidRPr="00670221">
        <w:rPr>
          <w:lang w:val="en-US"/>
        </w:rPr>
        <w:t xml:space="preserve"> synthesis remained the priciest route, dropping from €4.20/liter to €2.07/liter by 2050 but costing 6 to 9 times more than fossil kerosene at current prices, contingent on EU ETS implementation expected by 2026. By 2033, PEM + RWGS + FT with DAC became more cost-effective than co-electrolysis + FT with biogenic CO₂, due to improvements in DAC and PEM technology. By 2050, </w:t>
      </w:r>
      <w:proofErr w:type="spellStart"/>
      <w:r w:rsidRPr="00670221">
        <w:rPr>
          <w:lang w:val="en-US"/>
        </w:rPr>
        <w:t>eSAF</w:t>
      </w:r>
      <w:proofErr w:type="spellEnd"/>
      <w:r w:rsidRPr="00670221">
        <w:rPr>
          <w:lang w:val="en-US"/>
        </w:rPr>
        <w:t xml:space="preserve"> costs are expected to range between €1.80 and €2.00 per liter, with technologies incorporating PEM emerging as the more economical option. Electrolysis technology will become the primary cost driver, as DAC CO₂ costs converge with biogenic CO₂ costs. Although co-electrolysis pathways require more CO₂, higher CO₂ costs are nearly offset by lower fuel synthesis costs</w:t>
      </w:r>
      <w:r w:rsidR="008E4C94" w:rsidRPr="00670221">
        <w:rPr>
          <w:lang w:val="en-US"/>
        </w:rPr>
        <w:t xml:space="preserve"> without a RWGS reactor</w:t>
      </w:r>
      <w:r w:rsidRPr="00670221">
        <w:rPr>
          <w:lang w:val="en-US"/>
        </w:rPr>
        <w:t>, emphasizing the role of electrolysis as the defining cost component.</w:t>
      </w:r>
    </w:p>
    <w:p w14:paraId="613E2B82" w14:textId="284A254B" w:rsidR="00727D69" w:rsidRPr="00670221" w:rsidRDefault="00727D69" w:rsidP="006D5AF4">
      <w:pPr>
        <w:rPr>
          <w:lang w:val="en-US"/>
        </w:rPr>
      </w:pPr>
      <w:r w:rsidRPr="00670221">
        <w:rPr>
          <w:lang w:val="en-US"/>
        </w:rPr>
        <w:t xml:space="preserve">When analyzing the cost structure and its evolution over time, a distinct pattern </w:t>
      </w:r>
      <w:r w:rsidR="005958AD" w:rsidRPr="00670221">
        <w:rPr>
          <w:lang w:val="en-US"/>
        </w:rPr>
        <w:t>emerges</w:t>
      </w:r>
      <w:r w:rsidR="00047DCA" w:rsidRPr="00670221">
        <w:rPr>
          <w:lang w:val="en-US"/>
        </w:rPr>
        <w:t>. S</w:t>
      </w:r>
      <w:r w:rsidRPr="00670221">
        <w:rPr>
          <w:lang w:val="en-US"/>
        </w:rPr>
        <w:t xml:space="preserve">ystem OPEX and </w:t>
      </w:r>
      <w:proofErr w:type="spellStart"/>
      <w:r w:rsidRPr="00670221">
        <w:rPr>
          <w:lang w:val="en-US"/>
        </w:rPr>
        <w:t>electrolyzer</w:t>
      </w:r>
      <w:proofErr w:type="spellEnd"/>
      <w:r w:rsidRPr="00670221">
        <w:rPr>
          <w:lang w:val="en-US"/>
        </w:rPr>
        <w:t xml:space="preserve"> costs dominate overall expenses. For technologies utilizing DAC, the share of </w:t>
      </w:r>
      <w:proofErr w:type="spellStart"/>
      <w:r w:rsidRPr="00670221">
        <w:rPr>
          <w:lang w:val="en-US"/>
        </w:rPr>
        <w:t>electrolyzer</w:t>
      </w:r>
      <w:proofErr w:type="spellEnd"/>
      <w:r w:rsidRPr="00670221">
        <w:rPr>
          <w:lang w:val="en-US"/>
        </w:rPr>
        <w:t xml:space="preserve"> costs increases over time, driven by </w:t>
      </w:r>
      <w:r w:rsidR="009A6001" w:rsidRPr="00670221">
        <w:rPr>
          <w:lang w:val="en-US"/>
        </w:rPr>
        <w:t xml:space="preserve">a </w:t>
      </w:r>
      <w:r w:rsidRPr="00670221">
        <w:rPr>
          <w:lang w:val="en-US"/>
        </w:rPr>
        <w:t xml:space="preserve">decreasing </w:t>
      </w:r>
      <w:r w:rsidR="009A6001" w:rsidRPr="00670221">
        <w:rPr>
          <w:lang w:val="en-US"/>
        </w:rPr>
        <w:t xml:space="preserve">share of </w:t>
      </w:r>
      <w:r w:rsidRPr="00670221">
        <w:rPr>
          <w:lang w:val="en-US"/>
        </w:rPr>
        <w:t xml:space="preserve">CAPEX and rising </w:t>
      </w:r>
      <w:r w:rsidR="005D05C5" w:rsidRPr="00670221">
        <w:rPr>
          <w:lang w:val="en-US"/>
        </w:rPr>
        <w:t xml:space="preserve">share of </w:t>
      </w:r>
      <w:r w:rsidRPr="00670221">
        <w:rPr>
          <w:lang w:val="en-US"/>
        </w:rPr>
        <w:t xml:space="preserve">OPEX. This shift occurs because efficiency improvements in DAC technology increase the amount of CO₂ captured per machine, reducing CAPEX per ton of CO₂ while lowering OPEX through decreased energy consumption. Consequently, the </w:t>
      </w:r>
      <w:proofErr w:type="spellStart"/>
      <w:r w:rsidRPr="00670221">
        <w:rPr>
          <w:lang w:val="en-US"/>
        </w:rPr>
        <w:t>electrolyzer’s</w:t>
      </w:r>
      <w:proofErr w:type="spellEnd"/>
      <w:r w:rsidRPr="00670221">
        <w:rPr>
          <w:lang w:val="en-US"/>
        </w:rPr>
        <w:t xml:space="preserve"> cost share </w:t>
      </w:r>
      <w:r w:rsidR="00DA593D" w:rsidRPr="00670221">
        <w:rPr>
          <w:lang w:val="en-US"/>
        </w:rPr>
        <w:t>grows,</w:t>
      </w:r>
      <w:r w:rsidR="008C383B" w:rsidRPr="00670221">
        <w:rPr>
          <w:lang w:val="en-US"/>
        </w:rPr>
        <w:t xml:space="preserve"> meaning its cost and performance improve at a lower rate than DAC</w:t>
      </w:r>
      <w:r w:rsidRPr="00670221">
        <w:rPr>
          <w:lang w:val="en-US"/>
        </w:rPr>
        <w:t>.</w:t>
      </w:r>
      <w:r w:rsidR="008C383B" w:rsidRPr="00670221">
        <w:rPr>
          <w:lang w:val="en-US"/>
        </w:rPr>
        <w:t xml:space="preserve"> This effect is more pronounced with SOE, as </w:t>
      </w:r>
      <w:r w:rsidR="00896DD4" w:rsidRPr="00670221">
        <w:rPr>
          <w:lang w:val="en-US"/>
        </w:rPr>
        <w:t xml:space="preserve">no efficiency gains are </w:t>
      </w:r>
      <w:r w:rsidR="00101BEC" w:rsidRPr="00670221">
        <w:rPr>
          <w:lang w:val="en-US"/>
        </w:rPr>
        <w:t>modeled</w:t>
      </w:r>
      <w:r w:rsidR="00896DD4" w:rsidRPr="00670221">
        <w:rPr>
          <w:lang w:val="en-US"/>
        </w:rPr>
        <w:t>.</w:t>
      </w:r>
      <w:r w:rsidRPr="00670221">
        <w:rPr>
          <w:lang w:val="en-US"/>
        </w:rPr>
        <w:t xml:space="preserve"> In contrast, for technologies using biogenic CO₂, the overall share of the </w:t>
      </w:r>
      <w:proofErr w:type="spellStart"/>
      <w:r w:rsidRPr="00670221">
        <w:rPr>
          <w:lang w:val="en-US"/>
        </w:rPr>
        <w:t>electrolyzer</w:t>
      </w:r>
      <w:proofErr w:type="spellEnd"/>
      <w:r w:rsidRPr="00670221">
        <w:rPr>
          <w:lang w:val="en-US"/>
        </w:rPr>
        <w:t xml:space="preserve"> costs diminishes over time, as there </w:t>
      </w:r>
      <w:r w:rsidRPr="00670221">
        <w:rPr>
          <w:lang w:val="en-US"/>
        </w:rPr>
        <w:lastRenderedPageBreak/>
        <w:t>are no other components experiencing significant efficiency gains. This results in a</w:t>
      </w:r>
      <w:r w:rsidR="00101BEC" w:rsidRPr="00670221">
        <w:rPr>
          <w:lang w:val="en-US"/>
        </w:rPr>
        <w:t>n almost</w:t>
      </w:r>
      <w:r w:rsidRPr="00670221">
        <w:rPr>
          <w:lang w:val="en-US"/>
        </w:rPr>
        <w:t xml:space="preserve"> stable cost distribution compared to DAC technologies</w:t>
      </w:r>
      <w:r w:rsidR="00101BEC" w:rsidRPr="00670221">
        <w:rPr>
          <w:lang w:val="en-US"/>
        </w:rPr>
        <w:t xml:space="preserve"> throughout the years</w:t>
      </w:r>
      <w:r w:rsidRPr="00670221">
        <w:rPr>
          <w:lang w:val="en-US"/>
        </w:rPr>
        <w:t>.</w:t>
      </w:r>
    </w:p>
    <w:p w14:paraId="3497B630" w14:textId="18F6D42D" w:rsidR="000028A5" w:rsidRPr="00670221" w:rsidRDefault="006C2CC1" w:rsidP="006D5AF4">
      <w:pPr>
        <w:rPr>
          <w:lang w:val="en-US"/>
        </w:rPr>
      </w:pPr>
      <w:r w:rsidRPr="00670221">
        <w:rPr>
          <w:lang w:val="en-US"/>
        </w:rPr>
        <w:t xml:space="preserve">When examining CO₂ costs, biogenic CO₂ remains the most cost-effective option across the data, although DAC could achieve comparable prices by 2050 if electricity costs drop to </w:t>
      </w:r>
      <w:r w:rsidR="00EE58AF">
        <w:rPr>
          <w:lang w:val="en-US"/>
        </w:rPr>
        <w:t>€</w:t>
      </w:r>
      <w:r w:rsidRPr="00670221">
        <w:rPr>
          <w:lang w:val="en-US"/>
        </w:rPr>
        <w:t xml:space="preserve">40/MWh. Biogenic CO₂ is preferred over DAC, with the choice between the two </w:t>
      </w:r>
      <w:r w:rsidR="0049177B" w:rsidRPr="00670221">
        <w:rPr>
          <w:lang w:val="en-US"/>
        </w:rPr>
        <w:t>in the</w:t>
      </w:r>
      <w:r w:rsidR="00B60FCF" w:rsidRPr="00670221">
        <w:rPr>
          <w:lang w:val="en-US"/>
        </w:rPr>
        <w:t xml:space="preserve"> </w:t>
      </w:r>
      <w:r w:rsidR="0049177B" w:rsidRPr="00670221">
        <w:rPr>
          <w:lang w:val="en-US"/>
        </w:rPr>
        <w:t xml:space="preserve">future </w:t>
      </w:r>
      <w:r w:rsidRPr="00670221">
        <w:rPr>
          <w:lang w:val="en-US"/>
        </w:rPr>
        <w:t xml:space="preserve">depending significantly on the availability of high-concentration biogenic </w:t>
      </w:r>
      <w:r w:rsidR="006C6B89" w:rsidRPr="00670221">
        <w:rPr>
          <w:lang w:val="en-US"/>
        </w:rPr>
        <w:t xml:space="preserve">CO₂ </w:t>
      </w:r>
      <w:r w:rsidRPr="00670221">
        <w:rPr>
          <w:lang w:val="en-US"/>
        </w:rPr>
        <w:t>sources</w:t>
      </w:r>
      <w:r w:rsidR="006C6B89" w:rsidRPr="00670221">
        <w:rPr>
          <w:lang w:val="en-US"/>
        </w:rPr>
        <w:t xml:space="preserve"> (Williams, 2015</w:t>
      </w:r>
      <w:r w:rsidR="00BF088D" w:rsidRPr="00670221">
        <w:rPr>
          <w:lang w:val="en-US"/>
        </w:rPr>
        <w:t>)</w:t>
      </w:r>
      <w:r w:rsidRPr="00670221">
        <w:rPr>
          <w:lang w:val="en-US"/>
        </w:rPr>
        <w:t xml:space="preserve">. This </w:t>
      </w:r>
      <w:r w:rsidR="00BF088D" w:rsidRPr="00670221">
        <w:rPr>
          <w:lang w:val="en-US"/>
        </w:rPr>
        <w:t xml:space="preserve">effect </w:t>
      </w:r>
      <w:r w:rsidRPr="00670221">
        <w:rPr>
          <w:lang w:val="en-US"/>
        </w:rPr>
        <w:t xml:space="preserve">is expected to intensify as fossil CO₂ sources become more expensive or phased out due to rising carbon prices or regulatory constraints. </w:t>
      </w:r>
      <w:r w:rsidR="000028A5" w:rsidRPr="00670221">
        <w:rPr>
          <w:lang w:val="en-US"/>
        </w:rPr>
        <w:t xml:space="preserve">However, costs for low-volume capture and transport of CO₂ can reach up to €100/ton, particularly in regions without established carbon infrastructure, according to industry expert interviews (McKenna et al., 2024). By eliminating the need for CO₂ transport, DAC enables </w:t>
      </w:r>
      <w:proofErr w:type="spellStart"/>
      <w:r w:rsidR="000028A5" w:rsidRPr="00670221">
        <w:rPr>
          <w:lang w:val="en-US"/>
        </w:rPr>
        <w:t>eSAF</w:t>
      </w:r>
      <w:proofErr w:type="spellEnd"/>
      <w:r w:rsidR="000028A5" w:rsidRPr="00670221">
        <w:rPr>
          <w:lang w:val="en-US"/>
        </w:rPr>
        <w:t xml:space="preserve"> facilities to be strategically located near renewable energy sources and export ports, reducing logistical and infrastructure challenges. Consequently, carbon feedstock options should be assessed locally for new </w:t>
      </w:r>
      <w:proofErr w:type="spellStart"/>
      <w:r w:rsidR="000028A5" w:rsidRPr="00670221">
        <w:rPr>
          <w:lang w:val="en-US"/>
        </w:rPr>
        <w:t>eSAF</w:t>
      </w:r>
      <w:proofErr w:type="spellEnd"/>
      <w:r w:rsidR="000028A5" w:rsidRPr="00670221">
        <w:rPr>
          <w:lang w:val="en-US"/>
        </w:rPr>
        <w:t xml:space="preserve"> sites, as high-concentration biogenic CO₂ priced at approximately €50/ton represents a modeled minimum.</w:t>
      </w:r>
    </w:p>
    <w:p w14:paraId="79C488C3" w14:textId="785D6201" w:rsidR="001F3858" w:rsidRPr="00670221" w:rsidRDefault="006C2CC1" w:rsidP="006D5AF4">
      <w:pPr>
        <w:rPr>
          <w:lang w:val="en-US"/>
        </w:rPr>
      </w:pPr>
      <w:r w:rsidRPr="00670221">
        <w:rPr>
          <w:lang w:val="en-US"/>
        </w:rPr>
        <w:t>DAC CO₂ becomes more cost-effective than fossil-based alternatives in all sensitivity scenarios by 2036</w:t>
      </w:r>
      <w:r w:rsidR="00FE72B5" w:rsidRPr="00670221">
        <w:rPr>
          <w:lang w:val="en-US"/>
        </w:rPr>
        <w:t>.</w:t>
      </w:r>
      <w:r w:rsidR="00C50866" w:rsidRPr="00670221">
        <w:rPr>
          <w:lang w:val="en-US"/>
        </w:rPr>
        <w:t xml:space="preserve"> </w:t>
      </w:r>
      <w:r w:rsidR="00C94FB3" w:rsidRPr="00670221">
        <w:rPr>
          <w:lang w:val="en-US"/>
        </w:rPr>
        <w:t>Consequently, if transitional legislation aims to mandate the use of DAC</w:t>
      </w:r>
      <w:r w:rsidR="00504223" w:rsidRPr="00670221">
        <w:rPr>
          <w:lang w:val="en-US"/>
        </w:rPr>
        <w:t xml:space="preserve"> and biogenic</w:t>
      </w:r>
      <w:r w:rsidR="00C94FB3" w:rsidRPr="00670221">
        <w:rPr>
          <w:lang w:val="en-US"/>
        </w:rPr>
        <w:t xml:space="preserve"> CO₂ over fossil sources, it would have limited impact according to our calculations and sensitivity analysis, as DAC becomes more cost-effective before these mandates take effect. Thus, to be meaningful, this legislation should be advanced or reconsidered altogether.</w:t>
      </w:r>
      <w:r w:rsidR="000F6B58" w:rsidRPr="00670221">
        <w:rPr>
          <w:lang w:val="en-US"/>
        </w:rPr>
        <w:t xml:space="preserve"> </w:t>
      </w:r>
      <w:r w:rsidR="00033F3D" w:rsidRPr="00670221">
        <w:rPr>
          <w:lang w:val="en-US"/>
        </w:rPr>
        <w:t>However, the current system of free allowances under the EU ETS allows industries to supply fossil CO₂ at a lower cost because they do not pass along the full EU ETS price to CO₂ consumers. This effectively subsidizes fossil CO₂, creating a competitive disadvantage for DAC and biogenic CO₂</w:t>
      </w:r>
      <w:r w:rsidR="006A3B11" w:rsidRPr="00670221">
        <w:rPr>
          <w:lang w:val="en-US"/>
        </w:rPr>
        <w:t xml:space="preserve">. </w:t>
      </w:r>
      <w:r w:rsidRPr="00670221">
        <w:rPr>
          <w:lang w:val="en-US"/>
        </w:rPr>
        <w:t xml:space="preserve">This imbalance could delay the transition to DAC as a primary carbon source for </w:t>
      </w:r>
      <w:proofErr w:type="spellStart"/>
      <w:r w:rsidRPr="00670221">
        <w:rPr>
          <w:lang w:val="en-US"/>
        </w:rPr>
        <w:t>eSAF</w:t>
      </w:r>
      <w:proofErr w:type="spellEnd"/>
      <w:r w:rsidRPr="00670221">
        <w:rPr>
          <w:lang w:val="en-US"/>
        </w:rPr>
        <w:t>, hindering its development and broader adoption as a sustainable aviation fuel solution.</w:t>
      </w:r>
    </w:p>
    <w:p w14:paraId="665619FD" w14:textId="6170CDAE" w:rsidR="001F3858" w:rsidRPr="00670221" w:rsidRDefault="00535002" w:rsidP="006D5AF4">
      <w:pPr>
        <w:rPr>
          <w:lang w:val="en-US"/>
        </w:rPr>
      </w:pPr>
      <w:r w:rsidRPr="00670221">
        <w:rPr>
          <w:lang w:val="en-US"/>
        </w:rPr>
        <w:t xml:space="preserve">Possible interventions to eliminate the unfair advantage </w:t>
      </w:r>
      <w:r w:rsidR="00CA6447" w:rsidRPr="00670221">
        <w:rPr>
          <w:lang w:val="en-US"/>
        </w:rPr>
        <w:t>of</w:t>
      </w:r>
      <w:r w:rsidRPr="00670221">
        <w:rPr>
          <w:lang w:val="en-US"/>
        </w:rPr>
        <w:t xml:space="preserve"> fossil sectors receiving free allowances</w:t>
      </w:r>
      <w:r w:rsidR="00CA6447" w:rsidRPr="00670221">
        <w:rPr>
          <w:lang w:val="en-US"/>
        </w:rPr>
        <w:t xml:space="preserve"> when supplying </w:t>
      </w:r>
      <w:r w:rsidR="008C704A" w:rsidRPr="00670221">
        <w:rPr>
          <w:lang w:val="en-US"/>
        </w:rPr>
        <w:t xml:space="preserve">CO₂ </w:t>
      </w:r>
      <w:r w:rsidR="00CA6447" w:rsidRPr="00670221">
        <w:rPr>
          <w:lang w:val="en-US"/>
        </w:rPr>
        <w:t>feedstock</w:t>
      </w:r>
      <w:r w:rsidRPr="00670221">
        <w:rPr>
          <w:lang w:val="en-US"/>
        </w:rPr>
        <w:t xml:space="preserve"> include accelerating the phase-out of free allowances under the EU ETS, which would remove the implicit subsidy benefiting fossil CO₂ sources and create a more level playing field for DAC</w:t>
      </w:r>
      <w:r w:rsidR="00EA3C7A" w:rsidRPr="00670221">
        <w:rPr>
          <w:lang w:val="en-US"/>
        </w:rPr>
        <w:t xml:space="preserve"> and biogenic </w:t>
      </w:r>
      <w:r w:rsidR="006840DD" w:rsidRPr="00670221">
        <w:rPr>
          <w:lang w:val="en-US"/>
        </w:rPr>
        <w:t>CO₂</w:t>
      </w:r>
      <w:r w:rsidRPr="00670221">
        <w:rPr>
          <w:lang w:val="en-US"/>
        </w:rPr>
        <w:t xml:space="preserve">. Another approach could involve providing subsidies for DAC to reduce costs and boost adoption by </w:t>
      </w:r>
      <w:proofErr w:type="spellStart"/>
      <w:r w:rsidRPr="00670221">
        <w:rPr>
          <w:lang w:val="en-US"/>
        </w:rPr>
        <w:t>eSAF</w:t>
      </w:r>
      <w:proofErr w:type="spellEnd"/>
      <w:r w:rsidRPr="00670221">
        <w:rPr>
          <w:lang w:val="en-US"/>
        </w:rPr>
        <w:t xml:space="preserve"> producers. Additionally, implementing a policy that mandates the passing of </w:t>
      </w:r>
      <w:r w:rsidR="009532AD" w:rsidRPr="00670221">
        <w:rPr>
          <w:lang w:val="en-US"/>
        </w:rPr>
        <w:t xml:space="preserve">total </w:t>
      </w:r>
      <w:r w:rsidRPr="00670221">
        <w:rPr>
          <w:lang w:val="en-US"/>
        </w:rPr>
        <w:t xml:space="preserve">carbon prices to downstream carbon capture and utilization processes would ensure the environmental cost of using fossil CO₂ is reflected in pricing. Finally, establishing a reward system for </w:t>
      </w:r>
      <w:r w:rsidR="00C72836" w:rsidRPr="00670221">
        <w:rPr>
          <w:lang w:val="en-US"/>
        </w:rPr>
        <w:t xml:space="preserve">prevented </w:t>
      </w:r>
      <w:r w:rsidRPr="00670221">
        <w:rPr>
          <w:lang w:val="en-US"/>
        </w:rPr>
        <w:t>emissions when using carbon-neutral options, such as biogenic or DAC CO₂, instead of fossil CO₂ in CCU applications would incentivize the shift to sustainable carbon sources.</w:t>
      </w:r>
    </w:p>
    <w:p w14:paraId="4E940370" w14:textId="71B7A994" w:rsidR="00225A14" w:rsidRPr="00670221" w:rsidRDefault="00225A14" w:rsidP="006D5AF4">
      <w:pPr>
        <w:rPr>
          <w:lang w:val="en-US"/>
        </w:rPr>
      </w:pPr>
      <w:r w:rsidRPr="00670221">
        <w:rPr>
          <w:lang w:val="en-US"/>
        </w:rPr>
        <w:t xml:space="preserve">The sensitivity analysis highlighted the urgent need for low-cost electricity. </w:t>
      </w:r>
      <w:r w:rsidR="009F5C78" w:rsidRPr="00670221">
        <w:rPr>
          <w:lang w:val="en-US"/>
        </w:rPr>
        <w:t xml:space="preserve">Although periods of free electricity occur in the Netherlands during sunny conditions, primarily due to an oversupply of PV capacity relative to flexible demand, reliable and cost-effective storage solutions are essential to ensure a stable and affordable electricity supply year-round. </w:t>
      </w:r>
      <w:r w:rsidR="008D7CE5" w:rsidRPr="00670221">
        <w:rPr>
          <w:lang w:val="en-US"/>
        </w:rPr>
        <w:t xml:space="preserve">For projects like this, maintaining consistent electricity would require oversizing a </w:t>
      </w:r>
      <w:r w:rsidR="00CB5AE8" w:rsidRPr="00670221">
        <w:rPr>
          <w:lang w:val="en-US"/>
        </w:rPr>
        <w:t xml:space="preserve">hybrid </w:t>
      </w:r>
      <w:r w:rsidR="008D7CE5" w:rsidRPr="00670221">
        <w:rPr>
          <w:lang w:val="en-US"/>
        </w:rPr>
        <w:t>PV</w:t>
      </w:r>
      <w:r w:rsidR="00CB5AE8" w:rsidRPr="00670221">
        <w:rPr>
          <w:lang w:val="en-US"/>
        </w:rPr>
        <w:t xml:space="preserve"> and</w:t>
      </w:r>
      <w:r w:rsidR="008D7CE5" w:rsidRPr="00670221">
        <w:rPr>
          <w:lang w:val="en-US"/>
        </w:rPr>
        <w:t xml:space="preserve"> wind farm to charge storage systems, enabling energy availability even during low wind or solar conditions</w:t>
      </w:r>
      <w:r w:rsidR="0013400B" w:rsidRPr="00670221">
        <w:rPr>
          <w:lang w:val="en-US"/>
        </w:rPr>
        <w:t xml:space="preserve">. </w:t>
      </w:r>
      <w:r w:rsidRPr="00670221">
        <w:rPr>
          <w:lang w:val="en-US"/>
        </w:rPr>
        <w:t xml:space="preserve">These </w:t>
      </w:r>
      <w:r w:rsidR="006E78E6" w:rsidRPr="00670221">
        <w:rPr>
          <w:lang w:val="en-US"/>
        </w:rPr>
        <w:t xml:space="preserve">additional </w:t>
      </w:r>
      <w:r w:rsidRPr="00670221">
        <w:rPr>
          <w:lang w:val="en-US"/>
        </w:rPr>
        <w:t>costs should be integrated into the levelized cost of renewable electricity.</w:t>
      </w:r>
      <w:r w:rsidR="00756FD1" w:rsidRPr="00670221">
        <w:rPr>
          <w:lang w:val="en-US"/>
        </w:rPr>
        <w:t xml:space="preserve"> </w:t>
      </w:r>
      <w:r w:rsidRPr="00670221">
        <w:rPr>
          <w:lang w:val="en-US"/>
        </w:rPr>
        <w:t xml:space="preserve">This is especially important in the near term, as most technologies still have high capital expenditures that are </w:t>
      </w:r>
      <w:r w:rsidR="00855656" w:rsidRPr="00670221">
        <w:rPr>
          <w:lang w:val="en-US"/>
        </w:rPr>
        <w:t xml:space="preserve">more </w:t>
      </w:r>
      <w:r w:rsidRPr="00670221">
        <w:rPr>
          <w:lang w:val="en-US"/>
        </w:rPr>
        <w:t xml:space="preserve">negatively impacted by reduced operating hours. </w:t>
      </w:r>
      <w:r w:rsidRPr="00670221">
        <w:rPr>
          <w:lang w:val="en-US"/>
        </w:rPr>
        <w:lastRenderedPageBreak/>
        <w:t>To meet future demand, substantial investments in capacity expansion, infrastructure, and storage are needed, particularly as other sectors</w:t>
      </w:r>
      <w:r w:rsidR="00855656" w:rsidRPr="00670221">
        <w:rPr>
          <w:lang w:val="en-US"/>
        </w:rPr>
        <w:t xml:space="preserve"> also</w:t>
      </w:r>
      <w:r w:rsidRPr="00670221">
        <w:rPr>
          <w:lang w:val="en-US"/>
        </w:rPr>
        <w:t xml:space="preserve"> electrify to achieve decarbonization goals.</w:t>
      </w:r>
    </w:p>
    <w:p w14:paraId="523F07DC" w14:textId="227C40BE" w:rsidR="0084678C" w:rsidRPr="00670221" w:rsidRDefault="0084678C" w:rsidP="006D5AF4">
      <w:pPr>
        <w:rPr>
          <w:lang w:val="en-US"/>
        </w:rPr>
      </w:pPr>
      <w:r w:rsidRPr="00670221">
        <w:rPr>
          <w:lang w:val="en-US"/>
        </w:rPr>
        <w:t xml:space="preserve">The sensitivity analysis </w:t>
      </w:r>
      <w:r w:rsidR="00685502" w:rsidRPr="00670221">
        <w:rPr>
          <w:lang w:val="en-US"/>
        </w:rPr>
        <w:t xml:space="preserve">also </w:t>
      </w:r>
      <w:r w:rsidRPr="00670221">
        <w:rPr>
          <w:lang w:val="en-US"/>
        </w:rPr>
        <w:t>demonstrated the impact of SOE specifications on costs. Although cost data could be averaged from literature</w:t>
      </w:r>
      <w:r w:rsidR="00BE68B9" w:rsidRPr="00670221">
        <w:rPr>
          <w:lang w:val="en-US"/>
        </w:rPr>
        <w:t xml:space="preserve"> given the minimal adjustments needed for SOE to perform co-electrolysis</w:t>
      </w:r>
      <w:r w:rsidRPr="00670221">
        <w:rPr>
          <w:lang w:val="en-US"/>
        </w:rPr>
        <w:t>, information on electrical efficiency was limited, and carbon efficiency ha</w:t>
      </w:r>
      <w:r w:rsidR="00141BEF" w:rsidRPr="00670221">
        <w:rPr>
          <w:lang w:val="en-US"/>
        </w:rPr>
        <w:t>s</w:t>
      </w:r>
      <w:r w:rsidRPr="00670221">
        <w:rPr>
          <w:lang w:val="en-US"/>
        </w:rPr>
        <w:t xml:space="preserve"> rarely been researched due to the traditionally lower value assigned to carbon as feedstock. Higher carbon efficiency, however, reduces CO₂ requirements, significantly affecting costs when integrated with DAC. Combined with higher electrical efficiency, an SOE with specifications as outlined in the ISPT report was shown to meet levels of the most cost-effective option by 2032</w:t>
      </w:r>
      <w:r w:rsidR="006921F8" w:rsidRPr="00670221">
        <w:rPr>
          <w:lang w:val="en-US"/>
        </w:rPr>
        <w:t xml:space="preserve"> in our base case</w:t>
      </w:r>
      <w:r w:rsidRPr="00670221">
        <w:rPr>
          <w:lang w:val="en-US"/>
        </w:rPr>
        <w:t xml:space="preserve">. </w:t>
      </w:r>
      <w:r w:rsidR="00372E31" w:rsidRPr="00670221">
        <w:rPr>
          <w:lang w:val="en-US"/>
        </w:rPr>
        <w:t>Although t</w:t>
      </w:r>
      <w:r w:rsidR="00B12F0F" w:rsidRPr="00670221">
        <w:rPr>
          <w:lang w:val="en-US"/>
        </w:rPr>
        <w:t>he report’s specifications for SOE technology may not yet be fully attainable</w:t>
      </w:r>
      <w:r w:rsidR="00372E31" w:rsidRPr="00670221">
        <w:rPr>
          <w:lang w:val="en-US"/>
        </w:rPr>
        <w:t xml:space="preserve">, </w:t>
      </w:r>
      <w:r w:rsidR="00B12F0F" w:rsidRPr="00670221">
        <w:rPr>
          <w:lang w:val="en-US"/>
        </w:rPr>
        <w:t xml:space="preserve">they underscore the significant potential of SOE. This technology might prove even more promising than the current analysis suggests, as no efficiency improvements were modeled for SOE. In contrast, PEM technology incorporated efficiency gains, with </w:t>
      </w:r>
      <w:proofErr w:type="spellStart"/>
      <w:r w:rsidR="00B12F0F" w:rsidRPr="00670221">
        <w:rPr>
          <w:lang w:val="en-US"/>
        </w:rPr>
        <w:t>electrolyzer</w:t>
      </w:r>
      <w:proofErr w:type="spellEnd"/>
      <w:r w:rsidR="00B12F0F" w:rsidRPr="00670221">
        <w:rPr>
          <w:lang w:val="en-US"/>
        </w:rPr>
        <w:t xml:space="preserve"> efficiency improving from 63% to 71% in 2050.</w:t>
      </w:r>
      <w:r w:rsidR="00372E31" w:rsidRPr="00670221">
        <w:rPr>
          <w:lang w:val="en-US"/>
        </w:rPr>
        <w:t xml:space="preserve"> </w:t>
      </w:r>
      <w:r w:rsidRPr="00670221">
        <w:rPr>
          <w:lang w:val="en-US"/>
        </w:rPr>
        <w:t xml:space="preserve">Additionally, with improved stack lifetime, SOE becomes the preferred </w:t>
      </w:r>
      <w:r w:rsidR="00303BD9" w:rsidRPr="00670221">
        <w:rPr>
          <w:lang w:val="en-US"/>
        </w:rPr>
        <w:t xml:space="preserve">electrolysis </w:t>
      </w:r>
      <w:r w:rsidRPr="00670221">
        <w:rPr>
          <w:lang w:val="en-US"/>
        </w:rPr>
        <w:t>option based on techno-economic analysis from 2027 onward</w:t>
      </w:r>
      <w:r w:rsidR="009F0CB0" w:rsidRPr="00670221">
        <w:rPr>
          <w:lang w:val="en-US"/>
        </w:rPr>
        <w:t>, highlighting the need for continuous development of this technology.</w:t>
      </w:r>
    </w:p>
    <w:p w14:paraId="60856D2E" w14:textId="26A1CDFD" w:rsidR="00793BAC" w:rsidRPr="00670221" w:rsidRDefault="00793BAC" w:rsidP="006D5AF4">
      <w:pPr>
        <w:rPr>
          <w:lang w:val="en-US"/>
        </w:rPr>
      </w:pPr>
      <w:r w:rsidRPr="00670221">
        <w:rPr>
          <w:lang w:val="en-US"/>
        </w:rPr>
        <w:t xml:space="preserve">A final note on interpreting results for all novel technologies in this study is that </w:t>
      </w:r>
      <w:r w:rsidR="001B073A" w:rsidRPr="00670221">
        <w:rPr>
          <w:lang w:val="en-US"/>
        </w:rPr>
        <w:t xml:space="preserve">all </w:t>
      </w:r>
      <w:r w:rsidRPr="00670221">
        <w:rPr>
          <w:lang w:val="en-US"/>
        </w:rPr>
        <w:t xml:space="preserve">projected cost declines rely on a CAPEX degression curve aligned with future price forecasts. Achieving these forecasted prices requires continuous investment and adoption of improved technologies. Consequently, while cost estimates are most accurate for 2024, without ongoing advancements, costs may remain elevated longer than anticipated, underscoring the need for continuous innovation to realize </w:t>
      </w:r>
      <w:r w:rsidR="0014636C" w:rsidRPr="00670221">
        <w:rPr>
          <w:lang w:val="en-US"/>
        </w:rPr>
        <w:t xml:space="preserve">the technological progress essential </w:t>
      </w:r>
      <w:r w:rsidR="004F232A" w:rsidRPr="00670221">
        <w:rPr>
          <w:lang w:val="en-US"/>
        </w:rPr>
        <w:t>to reach cost estimations outlined in this study.</w:t>
      </w:r>
    </w:p>
    <w:p w14:paraId="18A56645" w14:textId="77777777" w:rsidR="008D5398" w:rsidRPr="00670221" w:rsidRDefault="008D5398" w:rsidP="00793BAC">
      <w:pPr>
        <w:rPr>
          <w:lang w:val="en-US"/>
        </w:rPr>
      </w:pPr>
    </w:p>
    <w:p w14:paraId="6FB2D40A" w14:textId="0CF48017" w:rsidR="007822F8" w:rsidRPr="00670221" w:rsidRDefault="007822F8" w:rsidP="003E58BA">
      <w:pPr>
        <w:pStyle w:val="Heading2"/>
      </w:pPr>
      <w:bookmarkStart w:id="125" w:name="_Toc184403467"/>
      <w:r w:rsidRPr="00670221">
        <w:t xml:space="preserve">Reflection on </w:t>
      </w:r>
      <w:r w:rsidR="00912773" w:rsidRPr="00670221">
        <w:t>M</w:t>
      </w:r>
      <w:r w:rsidRPr="00670221">
        <w:t>ethod</w:t>
      </w:r>
      <w:r w:rsidR="00912773" w:rsidRPr="00670221">
        <w:t xml:space="preserve"> and Data Limitations</w:t>
      </w:r>
      <w:bookmarkEnd w:id="125"/>
    </w:p>
    <w:p w14:paraId="1F25B851" w14:textId="2CBBA151" w:rsidR="00AD33DD" w:rsidRPr="00670221" w:rsidRDefault="00AD33DD" w:rsidP="008D5398">
      <w:pPr>
        <w:pStyle w:val="Heading3"/>
      </w:pPr>
      <w:bookmarkStart w:id="126" w:name="_Toc184403468"/>
      <w:r w:rsidRPr="00670221">
        <w:t>Socio-</w:t>
      </w:r>
      <w:r w:rsidR="00747B50" w:rsidRPr="00670221">
        <w:t>T</w:t>
      </w:r>
      <w:r w:rsidRPr="00670221">
        <w:t xml:space="preserve">echnical </w:t>
      </w:r>
      <w:r w:rsidR="00747B50" w:rsidRPr="00670221">
        <w:t>A</w:t>
      </w:r>
      <w:r w:rsidRPr="00670221">
        <w:t>nalysis</w:t>
      </w:r>
      <w:bookmarkEnd w:id="126"/>
    </w:p>
    <w:p w14:paraId="051CBA12" w14:textId="77777777" w:rsidR="00AD33DD" w:rsidRPr="00670221" w:rsidRDefault="00AD33DD" w:rsidP="00AD33DD">
      <w:pPr>
        <w:rPr>
          <w:lang w:val="en-US"/>
        </w:rPr>
      </w:pPr>
      <w:r w:rsidRPr="00670221">
        <w:rPr>
          <w:lang w:val="en-US"/>
        </w:rPr>
        <w:t xml:space="preserve">The TIS framework provided a robust structure for analyzing the socio-technical system of </w:t>
      </w:r>
      <w:proofErr w:type="spellStart"/>
      <w:r w:rsidRPr="00670221">
        <w:rPr>
          <w:lang w:val="en-US"/>
        </w:rPr>
        <w:t>eSAF</w:t>
      </w:r>
      <w:proofErr w:type="spellEnd"/>
      <w:r w:rsidRPr="00670221">
        <w:rPr>
          <w:lang w:val="en-US"/>
        </w:rPr>
        <w:t xml:space="preserve"> technologies. By conducting a literature review to map the technological landscape and grouping technologies based on their function, the approach allowed for an organized assessment of various components using technical criteria. The approach’s strengths included its ability to clearly link technological components to actor roles, aiding the actor analysis and identifying regulatory bodies for the institutional analysis. Examining the networks further accounted for the broader socio-technical environment. By developing criteria grounded in the problem statement and insights from technology, actor, policy, and network analyses, the method ensured a holistic evaluation of both technological performance and socio-political factors.</w:t>
      </w:r>
    </w:p>
    <w:p w14:paraId="3A1AF252" w14:textId="22FB3176" w:rsidR="00AD33DD" w:rsidRPr="00670221" w:rsidRDefault="00AD33DD" w:rsidP="00AD33DD">
      <w:pPr>
        <w:rPr>
          <w:lang w:val="en-US"/>
        </w:rPr>
      </w:pPr>
      <w:r w:rsidRPr="00670221">
        <w:rPr>
          <w:lang w:val="en-US"/>
        </w:rPr>
        <w:t xml:space="preserve">However, the criteria developed in this research are not exhaustive and would require expert validation before being applied to make investment decisions. There are undoubtedly additional criteria that have not been captured, and the relative importance of each criterion may vary, suggesting that some should carry more weight than others. Furthermore, the scores assigned to technological components were based on a relative comparison, which introduces subjectivity and invites further scrutiny. </w:t>
      </w:r>
      <w:r w:rsidR="005A266B" w:rsidRPr="00670221">
        <w:rPr>
          <w:lang w:val="en-US"/>
        </w:rPr>
        <w:t xml:space="preserve">Similarly, identifying the threshold at </w:t>
      </w:r>
      <w:r w:rsidR="005A266B" w:rsidRPr="00670221">
        <w:rPr>
          <w:lang w:val="en-US"/>
        </w:rPr>
        <w:lastRenderedPageBreak/>
        <w:t>which a technology was deemed "critical"—indicating it failed to meet the criteria in a significant and prohibitive way—also involved subjective judgment. A "critical" score meant the technology was excluded from further consideration in the</w:t>
      </w:r>
      <w:r w:rsidR="00CF522E" w:rsidRPr="00670221">
        <w:rPr>
          <w:lang w:val="en-US"/>
        </w:rPr>
        <w:t xml:space="preserve"> TEA</w:t>
      </w:r>
      <w:r w:rsidR="000D5FE2" w:rsidRPr="00670221">
        <w:rPr>
          <w:lang w:val="en-US"/>
        </w:rPr>
        <w:t xml:space="preserve">. </w:t>
      </w:r>
      <w:r w:rsidRPr="00670221">
        <w:rPr>
          <w:lang w:val="en-US"/>
        </w:rPr>
        <w:t>While this approach needs refinement and consensus from industry experts, this research makes a start in assessing the strengths and weaknesses of each technology, how they compare, and what successful projects have in common.</w:t>
      </w:r>
    </w:p>
    <w:p w14:paraId="36CF0CF4" w14:textId="7DC97FE8" w:rsidR="00AD33DD" w:rsidRPr="00670221" w:rsidRDefault="00AD33DD" w:rsidP="00AD33DD">
      <w:pPr>
        <w:rPr>
          <w:lang w:val="en-US"/>
        </w:rPr>
      </w:pPr>
      <w:r w:rsidRPr="00670221">
        <w:rPr>
          <w:lang w:val="en-US"/>
        </w:rPr>
        <w:t xml:space="preserve">An example of the non-exhaustiveness of the criteria is the omission of cost-effectiveness for different </w:t>
      </w:r>
      <w:r w:rsidR="00103077" w:rsidRPr="00670221">
        <w:rPr>
          <w:lang w:val="en-US"/>
        </w:rPr>
        <w:t>electricity</w:t>
      </w:r>
      <w:r w:rsidRPr="00670221">
        <w:rPr>
          <w:lang w:val="en-US"/>
        </w:rPr>
        <w:t xml:space="preserve"> options. While we used the levelized cost of electricity </w:t>
      </w:r>
      <w:r w:rsidR="0025032E" w:rsidRPr="00670221">
        <w:rPr>
          <w:lang w:val="en-US"/>
        </w:rPr>
        <w:t xml:space="preserve">of renewable electricity in general for </w:t>
      </w:r>
      <w:r w:rsidRPr="00670221">
        <w:rPr>
          <w:lang w:val="en-US"/>
        </w:rPr>
        <w:t xml:space="preserve">the cost analysis, </w:t>
      </w:r>
      <w:r w:rsidR="003205DD" w:rsidRPr="00670221">
        <w:rPr>
          <w:lang w:val="en-US"/>
        </w:rPr>
        <w:t>cost-effectiveness</w:t>
      </w:r>
      <w:r w:rsidRPr="00670221">
        <w:rPr>
          <w:lang w:val="en-US"/>
        </w:rPr>
        <w:t xml:space="preserve"> was not captured in any criteria and, therefore, not included in the analysis. This omission was primarily due to the complexity of calculating these costs, especially when comparing options like heat from CSP, with electricity from intermittent renewables </w:t>
      </w:r>
      <w:r w:rsidR="00EC267B" w:rsidRPr="00670221">
        <w:rPr>
          <w:lang w:val="en-US"/>
        </w:rPr>
        <w:t>and</w:t>
      </w:r>
      <w:r w:rsidRPr="00670221">
        <w:rPr>
          <w:lang w:val="en-US"/>
        </w:rPr>
        <w:t xml:space="preserve"> stable nuclear energy. Accurately assessing costs would require incorporating storage and flexibility measures necessary to meet system requirements, which introduces further layers of complexity. Designing a comprehensive plant that accounts for these factors is a research topic </w:t>
      </w:r>
      <w:proofErr w:type="gramStart"/>
      <w:r w:rsidRPr="00670221">
        <w:rPr>
          <w:lang w:val="en-US"/>
        </w:rPr>
        <w:t>in itself and</w:t>
      </w:r>
      <w:proofErr w:type="gramEnd"/>
      <w:r w:rsidRPr="00670221">
        <w:rPr>
          <w:lang w:val="en-US"/>
        </w:rPr>
        <w:t xml:space="preserve"> was beyond the scope of this study.</w:t>
      </w:r>
    </w:p>
    <w:p w14:paraId="3DA762B8" w14:textId="77777777" w:rsidR="008D5398" w:rsidRPr="00670221" w:rsidRDefault="008D5398" w:rsidP="00AD33DD">
      <w:pPr>
        <w:rPr>
          <w:lang w:val="en-US"/>
        </w:rPr>
      </w:pPr>
    </w:p>
    <w:p w14:paraId="0E459B52" w14:textId="6FEC57EA" w:rsidR="00EE137D" w:rsidRPr="00670221" w:rsidRDefault="00CE0672" w:rsidP="00EE137D">
      <w:pPr>
        <w:pStyle w:val="Heading3"/>
      </w:pPr>
      <w:bookmarkStart w:id="127" w:name="_Toc184403469"/>
      <w:r w:rsidRPr="00670221">
        <w:t>Techno-</w:t>
      </w:r>
      <w:r w:rsidR="00912773" w:rsidRPr="00670221">
        <w:t>E</w:t>
      </w:r>
      <w:r w:rsidRPr="00670221">
        <w:t xml:space="preserve">conomic </w:t>
      </w:r>
      <w:r w:rsidR="00912773" w:rsidRPr="00670221">
        <w:t>A</w:t>
      </w:r>
      <w:r w:rsidRPr="00670221">
        <w:t>nalysis</w:t>
      </w:r>
      <w:bookmarkEnd w:id="127"/>
    </w:p>
    <w:p w14:paraId="5C7F0447" w14:textId="4CE9912C" w:rsidR="004C680B" w:rsidRPr="00670221" w:rsidRDefault="00423BCD" w:rsidP="00EE4823">
      <w:pPr>
        <w:rPr>
          <w:lang w:val="en-US"/>
        </w:rPr>
      </w:pPr>
      <w:r w:rsidRPr="00670221">
        <w:rPr>
          <w:lang w:val="en-US"/>
        </w:rPr>
        <w:t xml:space="preserve">Limitations of this method largely stem from model structure and data constraints. Model limitations concern how variables are represented within the model. This includes assumptions about their behavior, the formulas or functional relationships applied, and decisions about which variables are static or dynamic. </w:t>
      </w:r>
      <w:r w:rsidR="00D86B0B" w:rsidRPr="00670221">
        <w:rPr>
          <w:lang w:val="en-US"/>
        </w:rPr>
        <w:t>While the model design choices were justified and generally aligned with literature, they may not represent the only valid approach. Forecasting inherently grows less reliable over time, as uncertainty increases. Introducing randomness into forecasts using a Monte Carlo simulation could enhance robustness by applying a normal distribution to certain price ranges</w:t>
      </w:r>
      <w:r w:rsidR="00332175" w:rsidRPr="00670221">
        <w:rPr>
          <w:lang w:val="en-US"/>
        </w:rPr>
        <w:t xml:space="preserve">, although setting these price ranges </w:t>
      </w:r>
      <w:r w:rsidR="00B74D30" w:rsidRPr="00670221">
        <w:rPr>
          <w:lang w:val="en-US"/>
        </w:rPr>
        <w:t>experiences similar issues</w:t>
      </w:r>
      <w:r w:rsidR="00D86B0B" w:rsidRPr="00670221">
        <w:rPr>
          <w:lang w:val="en-US"/>
        </w:rPr>
        <w:t>.</w:t>
      </w:r>
    </w:p>
    <w:p w14:paraId="7C983D91" w14:textId="68424D33" w:rsidR="008A609F" w:rsidRPr="00670221" w:rsidRDefault="008A609F" w:rsidP="008A609F">
      <w:pPr>
        <w:pStyle w:val="Heading4"/>
        <w:rPr>
          <w:lang w:val="en-US"/>
        </w:rPr>
      </w:pPr>
      <w:r w:rsidRPr="00670221">
        <w:rPr>
          <w:lang w:val="en-US"/>
        </w:rPr>
        <w:t>Model Limitations</w:t>
      </w:r>
    </w:p>
    <w:p w14:paraId="4BCDDCFE" w14:textId="0B809040" w:rsidR="008A609F" w:rsidRPr="00670221" w:rsidRDefault="008A609F" w:rsidP="008A609F">
      <w:pPr>
        <w:rPr>
          <w:lang w:val="en-US"/>
        </w:rPr>
      </w:pPr>
      <w:r w:rsidRPr="00670221">
        <w:rPr>
          <w:lang w:val="en-US"/>
        </w:rPr>
        <w:t xml:space="preserve">Model limitations were primarily related to assumptions about cost evolution, depreciation, and selectively applied efficiency gains. LCOF calculations faced challenges in estimating depreciation periods for emerging technologies, as their lifespans remain uncertain, adding risk to long-term forecasts. The CAPEX degression curve, designed based on future price forecasts, relied heavily on </w:t>
      </w:r>
      <w:r w:rsidR="00B74D30" w:rsidRPr="00670221">
        <w:rPr>
          <w:lang w:val="en-US"/>
        </w:rPr>
        <w:t>the chosen</w:t>
      </w:r>
      <w:r w:rsidRPr="00670221">
        <w:rPr>
          <w:lang w:val="en-US"/>
        </w:rPr>
        <w:t xml:space="preserve"> formula, meaning that CAPEX values between forecast points were shaped by the curve’s chosen trajectory. Even the values for forecasted years depended on how well the curve fit the available data points, affecting the projected cost trajectory.</w:t>
      </w:r>
    </w:p>
    <w:p w14:paraId="74F15B64" w14:textId="703B761F" w:rsidR="008A609F" w:rsidRPr="00670221" w:rsidRDefault="008A609F" w:rsidP="008A609F">
      <w:pPr>
        <w:rPr>
          <w:lang w:val="en-US"/>
        </w:rPr>
      </w:pPr>
      <w:r w:rsidRPr="00670221">
        <w:rPr>
          <w:lang w:val="en-US"/>
        </w:rPr>
        <w:t xml:space="preserve">Another limitation involved treating certain costs, like electricity, as static rather than dynamic, despite the potential for significant shifts due to geopolitical or market factors, as seen during the Russia-Ukraine conflict. Efficiency gains were also modeled selectively: while DAC received detailed CAPEX degression modeling, only linear improvements were applied to electrolysis and fuel synthesis technologies. For SOE, neither carbon nor electrical efficiency gains were included at a model level. This lack of modeled efficiency improvements for SOE was due to data constraints, as no adequate data was available to support these improvements—a point further discussed in the data limitations section. Additionally, the </w:t>
      </w:r>
      <w:r w:rsidRPr="00670221">
        <w:rPr>
          <w:lang w:val="en-US"/>
        </w:rPr>
        <w:lastRenderedPageBreak/>
        <w:t xml:space="preserve">comparison of industrial data for DAC and SOE with </w:t>
      </w:r>
      <w:r w:rsidR="00894085" w:rsidRPr="00670221">
        <w:rPr>
          <w:lang w:val="en-US"/>
        </w:rPr>
        <w:t>theoretical</w:t>
      </w:r>
      <w:r w:rsidRPr="00670221">
        <w:rPr>
          <w:lang w:val="en-US"/>
        </w:rPr>
        <w:t xml:space="preserve"> data for </w:t>
      </w:r>
      <w:r w:rsidR="00894085" w:rsidRPr="00670221">
        <w:rPr>
          <w:lang w:val="en-US"/>
        </w:rPr>
        <w:t xml:space="preserve">biogenic </w:t>
      </w:r>
      <w:r w:rsidR="0092149E" w:rsidRPr="00670221">
        <w:rPr>
          <w:lang w:val="en-US"/>
        </w:rPr>
        <w:t xml:space="preserve">CO₂, </w:t>
      </w:r>
      <w:r w:rsidRPr="00670221">
        <w:rPr>
          <w:lang w:val="en-US"/>
        </w:rPr>
        <w:t>PEM and fuel synthesis may have introduced an inconsistency, underscoring the need for more standardized data across all technologies to ensure reliable projections.</w:t>
      </w:r>
    </w:p>
    <w:p w14:paraId="6C89D2DB" w14:textId="77777777" w:rsidR="008A609F" w:rsidRPr="00670221" w:rsidRDefault="008A609F" w:rsidP="008A609F">
      <w:pPr>
        <w:pStyle w:val="Heading4"/>
        <w:rPr>
          <w:lang w:val="en-US"/>
        </w:rPr>
      </w:pPr>
      <w:r w:rsidRPr="00670221">
        <w:rPr>
          <w:lang w:val="en-US"/>
        </w:rPr>
        <w:t>Data Limitations</w:t>
      </w:r>
    </w:p>
    <w:p w14:paraId="3666670A" w14:textId="32EEC178" w:rsidR="009A1178" w:rsidRPr="00670221" w:rsidRDefault="00346685" w:rsidP="008A609F">
      <w:pPr>
        <w:rPr>
          <w:lang w:val="en-US"/>
        </w:rPr>
      </w:pPr>
      <w:r w:rsidRPr="00670221">
        <w:rPr>
          <w:lang w:val="en-US"/>
        </w:rPr>
        <w:t>Data limitations in this analysis were influenced by both the scope, quantity and quality of the data sources. Our review was based on a limited selection of articles, which may not fully encompass the range of existing studies. Different search terms or methodologies could have led to alternative articles, potentially introducing different values into the model. Additionally, not all data points were directly comparable, as scaling factors varied between sources. While some studies presented values optimized for size, others did not account for such adjustments, leading to inconsistencies.</w:t>
      </w:r>
    </w:p>
    <w:p w14:paraId="05CAF2C5" w14:textId="04FFDFAA" w:rsidR="004C30D2" w:rsidRPr="00670221" w:rsidRDefault="00484A11" w:rsidP="004C30D2">
      <w:pPr>
        <w:rPr>
          <w:lang w:val="en-US"/>
        </w:rPr>
      </w:pPr>
      <w:r w:rsidRPr="00670221">
        <w:rPr>
          <w:lang w:val="en-US"/>
        </w:rPr>
        <w:t xml:space="preserve">Several specific data limitations apply, </w:t>
      </w:r>
      <w:r w:rsidR="002E46AA" w:rsidRPr="00670221">
        <w:rPr>
          <w:lang w:val="en-US"/>
        </w:rPr>
        <w:t>which is not uncommon</w:t>
      </w:r>
      <w:r w:rsidRPr="00670221">
        <w:rPr>
          <w:lang w:val="en-US"/>
        </w:rPr>
        <w:t xml:space="preserve"> for emerging technologies like solid oxide co-electrolysis</w:t>
      </w:r>
      <w:r w:rsidR="002E46AA" w:rsidRPr="00670221">
        <w:rPr>
          <w:lang w:val="en-US"/>
        </w:rPr>
        <w:t xml:space="preserve">, direct air capture and </w:t>
      </w:r>
      <w:r w:rsidR="00A14F37" w:rsidRPr="00670221">
        <w:rPr>
          <w:lang w:val="en-US"/>
        </w:rPr>
        <w:t>RWGS</w:t>
      </w:r>
      <w:r w:rsidR="00326F41">
        <w:rPr>
          <w:lang w:val="en-US"/>
        </w:rPr>
        <w:t xml:space="preserve"> </w:t>
      </w:r>
      <w:r w:rsidR="007A5E0C" w:rsidRPr="00670221">
        <w:rPr>
          <w:lang w:val="en-US"/>
        </w:rPr>
        <w:t>reactors</w:t>
      </w:r>
      <w:r w:rsidR="00F8490E" w:rsidRPr="00670221">
        <w:rPr>
          <w:lang w:val="en-US"/>
        </w:rPr>
        <w:t xml:space="preserve">. </w:t>
      </w:r>
      <w:r w:rsidR="004C30D2" w:rsidRPr="00670221">
        <w:rPr>
          <w:lang w:val="en-US"/>
        </w:rPr>
        <w:t>For co-electrolysis, cost data for solid oxide electrolysis could be applied due to minimal technology adjustments needed for syngas production. However, efficiency data could not be directly used, as the energy output of syngas differs from hydrogen. Additionally, carbon efficiency, a metric not widely used as carbon is often treated as a waste product rather than valuable feedstock, was unavailable.</w:t>
      </w:r>
    </w:p>
    <w:p w14:paraId="0B0370C5" w14:textId="77777777" w:rsidR="007B6B20" w:rsidRPr="00670221" w:rsidRDefault="004C30D2" w:rsidP="004C30D2">
      <w:pPr>
        <w:rPr>
          <w:lang w:val="en-US"/>
        </w:rPr>
      </w:pPr>
      <w:r w:rsidRPr="00670221">
        <w:rPr>
          <w:lang w:val="en-US"/>
        </w:rPr>
        <w:t>Short-term DAC efficiency data, though current, was sourced exclusively from a single industry partner, Skytree, potentially introducing bias. Similarly, limited cost data for certain components, like the RWGS reactor, forced reliance on a small number of sources, which may have impacted the robustness of cost forecasts, though this was a minor cost component. Furthermore, while some sources provided detailed near-term performance data, reliable long-term data for future efficiency gains and technological improvements was scarce. As a result, while short-term cost estimates (e.g., for 2024) are likely accurate, long-term forecasts carry greater uncertainty, underscoring the evolving nature of these technologies and the need for ongoing research and data collection.</w:t>
      </w:r>
    </w:p>
    <w:p w14:paraId="12ACD8DC" w14:textId="77777777" w:rsidR="008D5398" w:rsidRPr="00670221" w:rsidRDefault="008D5398" w:rsidP="004C30D2">
      <w:pPr>
        <w:rPr>
          <w:lang w:val="en-US"/>
        </w:rPr>
      </w:pPr>
    </w:p>
    <w:p w14:paraId="184881D6" w14:textId="5481E305" w:rsidR="00D501E7" w:rsidRDefault="00D501E7" w:rsidP="00D501E7">
      <w:pPr>
        <w:pStyle w:val="Heading2"/>
      </w:pPr>
      <w:bookmarkStart w:id="128" w:name="_Toc184403470"/>
      <w:r>
        <w:t>Academic Relevance</w:t>
      </w:r>
      <w:r>
        <w:t xml:space="preserve"> &amp; </w:t>
      </w:r>
      <w:r w:rsidRPr="00670221">
        <w:t>Future Research</w:t>
      </w:r>
      <w:bookmarkEnd w:id="128"/>
    </w:p>
    <w:p w14:paraId="647F07E5" w14:textId="52D7EE07" w:rsidR="00545A51" w:rsidRPr="00670221" w:rsidRDefault="008C6C58" w:rsidP="00545A51">
      <w:pPr>
        <w:rPr>
          <w:lang w:val="en-US"/>
        </w:rPr>
      </w:pPr>
      <w:r w:rsidRPr="008C6C58">
        <w:rPr>
          <w:lang w:val="en-US"/>
        </w:rPr>
        <w:t xml:space="preserve">This research contributes to the academic understanding of sustainable aviation fuel pathways by providing actionable insights into the </w:t>
      </w:r>
      <w:r w:rsidR="00F3478A">
        <w:rPr>
          <w:lang w:val="en-US"/>
        </w:rPr>
        <w:t xml:space="preserve">feasibility </w:t>
      </w:r>
      <w:r w:rsidRPr="008C6C58">
        <w:rPr>
          <w:lang w:val="en-US"/>
        </w:rPr>
        <w:t xml:space="preserve">and </w:t>
      </w:r>
      <w:r w:rsidR="00F713D0">
        <w:rPr>
          <w:lang w:val="en-US"/>
        </w:rPr>
        <w:t xml:space="preserve">a tool to research </w:t>
      </w:r>
      <w:r w:rsidRPr="008C6C58">
        <w:rPr>
          <w:lang w:val="en-US"/>
        </w:rPr>
        <w:t>cost dynamics of SAF technologie</w:t>
      </w:r>
      <w:r w:rsidR="00F713D0">
        <w:rPr>
          <w:lang w:val="en-US"/>
        </w:rPr>
        <w:t>s</w:t>
      </w:r>
      <w:r w:rsidRPr="008C6C58">
        <w:rPr>
          <w:lang w:val="en-US"/>
        </w:rPr>
        <w:t xml:space="preserve">. </w:t>
      </w:r>
      <w:r w:rsidR="00C11C57" w:rsidRPr="00C11C57">
        <w:rPr>
          <w:lang w:val="en-US"/>
        </w:rPr>
        <w:t>By introducing accurate DAC data and integrating it with novel co-electrolysis technologies, alongside comparisons to alternative pathways, these contributions</w:t>
      </w:r>
      <w:r w:rsidR="00C11C57">
        <w:rPr>
          <w:lang w:val="en-US"/>
        </w:rPr>
        <w:t xml:space="preserve"> </w:t>
      </w:r>
      <w:r w:rsidR="00F3478A">
        <w:rPr>
          <w:lang w:val="en-US"/>
        </w:rPr>
        <w:t>set the first steps</w:t>
      </w:r>
      <w:r w:rsidRPr="008C6C58">
        <w:rPr>
          <w:lang w:val="en-US"/>
        </w:rPr>
        <w:t xml:space="preserve"> for advancing SAF deployment and serve as a springboard for future research</w:t>
      </w:r>
      <w:r>
        <w:rPr>
          <w:lang w:val="en-US"/>
        </w:rPr>
        <w:t xml:space="preserve">. </w:t>
      </w:r>
      <w:r w:rsidR="00545A51" w:rsidRPr="00670221">
        <w:rPr>
          <w:lang w:val="en-US"/>
        </w:rPr>
        <w:t>Future research should extend the socio-technical analysis by incorporating industry expert interview</w:t>
      </w:r>
      <w:r w:rsidR="007B6945" w:rsidRPr="00670221">
        <w:rPr>
          <w:lang w:val="en-US"/>
        </w:rPr>
        <w:t>s</w:t>
      </w:r>
      <w:r w:rsidR="00545A51" w:rsidRPr="00670221">
        <w:rPr>
          <w:lang w:val="en-US"/>
        </w:rPr>
        <w:t>. Additionally, the criteria used for evaluating alternatives should be expanded and weighted to better capture socio-political and technical factors, improving the robustness of future assessments.</w:t>
      </w:r>
    </w:p>
    <w:p w14:paraId="3A52B43F" w14:textId="11D9B0E7" w:rsidR="00AD4480" w:rsidRPr="00670221" w:rsidRDefault="00545A51" w:rsidP="00545A51">
      <w:pPr>
        <w:rPr>
          <w:lang w:val="en-US"/>
        </w:rPr>
      </w:pPr>
      <w:r w:rsidRPr="00670221">
        <w:rPr>
          <w:lang w:val="en-US"/>
        </w:rPr>
        <w:t>Further exploration is required to assess biogenic CO₂ availability</w:t>
      </w:r>
      <w:r w:rsidR="004A2271" w:rsidRPr="00670221">
        <w:rPr>
          <w:lang w:val="en-US"/>
        </w:rPr>
        <w:t xml:space="preserve">, </w:t>
      </w:r>
      <w:r w:rsidR="002F35CA" w:rsidRPr="00670221">
        <w:rPr>
          <w:lang w:val="en-US"/>
        </w:rPr>
        <w:t>its proximity to</w:t>
      </w:r>
      <w:r w:rsidRPr="00670221">
        <w:rPr>
          <w:lang w:val="en-US"/>
        </w:rPr>
        <w:t xml:space="preserve"> renewable energy hotspots and </w:t>
      </w:r>
      <w:r w:rsidR="00FC2127" w:rsidRPr="00670221">
        <w:rPr>
          <w:lang w:val="en-US"/>
        </w:rPr>
        <w:t>more detailed levelized cost</w:t>
      </w:r>
      <w:r w:rsidRPr="00670221">
        <w:rPr>
          <w:lang w:val="en-US"/>
        </w:rPr>
        <w:t xml:space="preserve">. Investigating CO₂ transportation costs, especially in regions lacking pipeline infrastructure, is essential. This includes </w:t>
      </w:r>
      <w:r w:rsidR="004A2271" w:rsidRPr="00670221">
        <w:rPr>
          <w:lang w:val="en-US"/>
        </w:rPr>
        <w:t xml:space="preserve">costs for </w:t>
      </w:r>
      <w:r w:rsidRPr="00670221">
        <w:rPr>
          <w:lang w:val="en-US"/>
        </w:rPr>
        <w:t>evaluating the feasibility and costs of pipeline construction or alternative transportation methods</w:t>
      </w:r>
      <w:r w:rsidR="00120A43" w:rsidRPr="00670221">
        <w:rPr>
          <w:lang w:val="en-US"/>
        </w:rPr>
        <w:t xml:space="preserve"> like </w:t>
      </w:r>
      <w:r w:rsidR="007C3C56" w:rsidRPr="00670221">
        <w:rPr>
          <w:lang w:val="en-US"/>
        </w:rPr>
        <w:t>via trucks</w:t>
      </w:r>
      <w:r w:rsidRPr="00670221">
        <w:rPr>
          <w:lang w:val="en-US"/>
        </w:rPr>
        <w:t xml:space="preserve">, which could significantly impact the scalability of </w:t>
      </w:r>
      <w:proofErr w:type="spellStart"/>
      <w:r w:rsidRPr="00670221">
        <w:rPr>
          <w:lang w:val="en-US"/>
        </w:rPr>
        <w:t>eSAF</w:t>
      </w:r>
      <w:proofErr w:type="spellEnd"/>
      <w:r w:rsidRPr="00670221">
        <w:rPr>
          <w:lang w:val="en-US"/>
        </w:rPr>
        <w:t xml:space="preserve"> production.</w:t>
      </w:r>
      <w:r w:rsidR="007A4295" w:rsidRPr="00670221">
        <w:rPr>
          <w:lang w:val="en-US"/>
        </w:rPr>
        <w:t xml:space="preserve"> </w:t>
      </w:r>
      <w:r w:rsidR="00AD4480" w:rsidRPr="00670221">
        <w:rPr>
          <w:lang w:val="en-US"/>
        </w:rPr>
        <w:lastRenderedPageBreak/>
        <w:t>the costs of capture equipment (CAPEX) must be examined in more detail, as biogenic CO₂ costs are not entirely composed of OPEX, contrary to some simplified assumptions.</w:t>
      </w:r>
    </w:p>
    <w:p w14:paraId="1153D5DE" w14:textId="5D69AE5B" w:rsidR="00545A51" w:rsidRPr="00670221" w:rsidRDefault="00545A51" w:rsidP="00545A51">
      <w:pPr>
        <w:rPr>
          <w:lang w:val="en-US"/>
        </w:rPr>
      </w:pPr>
      <w:r w:rsidRPr="00670221">
        <w:rPr>
          <w:lang w:val="en-US"/>
        </w:rPr>
        <w:t xml:space="preserve">Solid </w:t>
      </w:r>
      <w:r w:rsidR="0073254B" w:rsidRPr="00670221">
        <w:rPr>
          <w:lang w:val="en-US"/>
        </w:rPr>
        <w:t>o</w:t>
      </w:r>
      <w:r w:rsidRPr="00670221">
        <w:rPr>
          <w:lang w:val="en-US"/>
        </w:rPr>
        <w:t xml:space="preserve">xide </w:t>
      </w:r>
      <w:r w:rsidR="0073254B" w:rsidRPr="00670221">
        <w:rPr>
          <w:lang w:val="en-US"/>
        </w:rPr>
        <w:t>e</w:t>
      </w:r>
      <w:r w:rsidRPr="00670221">
        <w:rPr>
          <w:lang w:val="en-US"/>
        </w:rPr>
        <w:t>lectrolysis performance in co-electrolysis presents another critical area of study. Improved data on SOE electrical and carbon efficiencies are necessary, along with a detailed evaluation of stack lifetime, which is currently assumed to be 10 years but may be shorter for emerging technologies. These insights would refine cost projections and enable a more accurate assessment of SOE’s potential.</w:t>
      </w:r>
    </w:p>
    <w:p w14:paraId="7252129E" w14:textId="38C534D0" w:rsidR="0073254B" w:rsidRPr="00670221" w:rsidRDefault="0073254B" w:rsidP="00545A51">
      <w:pPr>
        <w:rPr>
          <w:lang w:val="en-US"/>
        </w:rPr>
      </w:pPr>
      <w:r w:rsidRPr="00670221">
        <w:rPr>
          <w:lang w:val="en-US"/>
        </w:rPr>
        <w:t xml:space="preserve">Optimization of plant size and energy storage solutions, particularly for renewable energy and </w:t>
      </w:r>
      <w:proofErr w:type="spellStart"/>
      <w:r w:rsidRPr="00670221">
        <w:rPr>
          <w:lang w:val="en-US"/>
        </w:rPr>
        <w:t>eSAF</w:t>
      </w:r>
      <w:proofErr w:type="spellEnd"/>
      <w:r w:rsidRPr="00670221">
        <w:rPr>
          <w:lang w:val="en-US"/>
        </w:rPr>
        <w:t xml:space="preserve"> production systems, is also a priority. Studies should address molar and heat flow dynamics and the efficiency of syngas production, which involves both hydrogen and carbon monoxide. </w:t>
      </w:r>
      <w:r w:rsidR="00AD310B" w:rsidRPr="00670221">
        <w:rPr>
          <w:lang w:val="en-US"/>
        </w:rPr>
        <w:t xml:space="preserve">The high-temperature requirements for SOE were assumed to be met by the exothermic FT synthesis in the analysis. However, if this integration does not materialize as expected, the overall efficiency of SOE could drop significantly, as additional external energy would be required to maintain the necessary operating temperatures. </w:t>
      </w:r>
      <w:r w:rsidRPr="00670221">
        <w:rPr>
          <w:lang w:val="en-US"/>
        </w:rPr>
        <w:t>Establishing a clearer definition for co-electrolysis efficiency in these contexts would aid in evaluating system performance.</w:t>
      </w:r>
    </w:p>
    <w:p w14:paraId="4BF0E9D3" w14:textId="514E3CA3" w:rsidR="004867EE" w:rsidRPr="00670221" w:rsidRDefault="004867EE" w:rsidP="00545A51">
      <w:pPr>
        <w:rPr>
          <w:lang w:val="en-US"/>
        </w:rPr>
      </w:pPr>
      <w:r w:rsidRPr="00670221">
        <w:rPr>
          <w:lang w:val="en-US"/>
        </w:rPr>
        <w:t xml:space="preserve">Additionally, more detailed cost and performance data are needed for </w:t>
      </w:r>
      <w:r w:rsidR="007C3C56" w:rsidRPr="00670221">
        <w:rPr>
          <w:lang w:val="en-US"/>
        </w:rPr>
        <w:t>r</w:t>
      </w:r>
      <w:r w:rsidRPr="00670221">
        <w:rPr>
          <w:lang w:val="en-US"/>
        </w:rPr>
        <w:t xml:space="preserve">everse </w:t>
      </w:r>
      <w:r w:rsidR="007C3C56" w:rsidRPr="00670221">
        <w:rPr>
          <w:lang w:val="en-US"/>
        </w:rPr>
        <w:t>w</w:t>
      </w:r>
      <w:r w:rsidRPr="00670221">
        <w:rPr>
          <w:lang w:val="en-US"/>
        </w:rPr>
        <w:t xml:space="preserve">ater </w:t>
      </w:r>
      <w:r w:rsidR="007C3C56" w:rsidRPr="00670221">
        <w:rPr>
          <w:lang w:val="en-US"/>
        </w:rPr>
        <w:t>g</w:t>
      </w:r>
      <w:r w:rsidRPr="00670221">
        <w:rPr>
          <w:lang w:val="en-US"/>
        </w:rPr>
        <w:t xml:space="preserve">as </w:t>
      </w:r>
      <w:r w:rsidR="007C3C56" w:rsidRPr="00670221">
        <w:rPr>
          <w:lang w:val="en-US"/>
        </w:rPr>
        <w:t>s</w:t>
      </w:r>
      <w:r w:rsidRPr="00670221">
        <w:rPr>
          <w:lang w:val="en-US"/>
        </w:rPr>
        <w:t>hift reactors, which are often modeled as part of a single process with Fischer-</w:t>
      </w:r>
      <w:proofErr w:type="spellStart"/>
      <w:r w:rsidRPr="00670221">
        <w:rPr>
          <w:lang w:val="en-US"/>
        </w:rPr>
        <w:t>Tropsch</w:t>
      </w:r>
      <w:proofErr w:type="spellEnd"/>
      <w:r w:rsidRPr="00670221">
        <w:rPr>
          <w:lang w:val="en-US"/>
        </w:rPr>
        <w:t xml:space="preserve"> synthesis. Assumptions made in this analysis to allocate efficiency gains and cost reductions between RWGS and FT should be validated through further study to ensure accuracy.</w:t>
      </w:r>
    </w:p>
    <w:p w14:paraId="1DCB9513" w14:textId="761B2F9C" w:rsidR="00487851" w:rsidRPr="00670221" w:rsidRDefault="00545A51" w:rsidP="00C70BA9">
      <w:pPr>
        <w:rPr>
          <w:lang w:val="en-US"/>
        </w:rPr>
      </w:pPr>
      <w:r w:rsidRPr="00670221">
        <w:rPr>
          <w:lang w:val="en-US"/>
        </w:rPr>
        <w:t xml:space="preserve">Finally, future work should analyze the factors driving long-term electricity price reductions, such as renewable energy </w:t>
      </w:r>
      <w:r w:rsidR="001F3904" w:rsidRPr="00670221">
        <w:rPr>
          <w:lang w:val="en-US"/>
        </w:rPr>
        <w:t xml:space="preserve">expansion, </w:t>
      </w:r>
      <w:r w:rsidR="005F7423" w:rsidRPr="00670221">
        <w:rPr>
          <w:lang w:val="en-US"/>
        </w:rPr>
        <w:t xml:space="preserve">grid and storage development, </w:t>
      </w:r>
      <w:r w:rsidRPr="00670221">
        <w:rPr>
          <w:lang w:val="en-US"/>
        </w:rPr>
        <w:t xml:space="preserve">and policy incentives, while considering potential external disruptions. These studies would improve the accuracy of long-term cost projections and help ensure the economic feasibility of </w:t>
      </w:r>
      <w:proofErr w:type="spellStart"/>
      <w:r w:rsidRPr="00670221">
        <w:rPr>
          <w:lang w:val="en-US"/>
        </w:rPr>
        <w:t>eSAF</w:t>
      </w:r>
      <w:proofErr w:type="spellEnd"/>
      <w:r w:rsidRPr="00670221">
        <w:rPr>
          <w:lang w:val="en-US"/>
        </w:rPr>
        <w:t xml:space="preserve"> technologies at scale</w:t>
      </w:r>
      <w:r w:rsidR="00C071C8" w:rsidRPr="00670221">
        <w:rPr>
          <w:lang w:val="en-US"/>
        </w:rPr>
        <w:t>, as these are largely dependent on the electricity price.</w:t>
      </w:r>
      <w:r w:rsidR="00487851" w:rsidRPr="00670221">
        <w:rPr>
          <w:lang w:val="en-US"/>
        </w:rPr>
        <w:br w:type="page"/>
      </w:r>
    </w:p>
    <w:p w14:paraId="0BBF41C4" w14:textId="7A7A235C" w:rsidR="00487851" w:rsidRDefault="00487851" w:rsidP="00487851">
      <w:pPr>
        <w:pStyle w:val="Heading1"/>
      </w:pPr>
      <w:bookmarkStart w:id="129" w:name="_Toc184403471"/>
      <w:r w:rsidRPr="00670221">
        <w:lastRenderedPageBreak/>
        <w:t>Conclusion</w:t>
      </w:r>
      <w:bookmarkEnd w:id="129"/>
    </w:p>
    <w:p w14:paraId="215FE9E3" w14:textId="77777777" w:rsidR="00BC298F" w:rsidRPr="00BC298F" w:rsidRDefault="00BC298F" w:rsidP="00BC298F">
      <w:pPr>
        <w:rPr>
          <w:lang w:val="en-US"/>
        </w:rPr>
      </w:pPr>
    </w:p>
    <w:p w14:paraId="745B8EB3" w14:textId="44D8D503" w:rsidR="0008074F" w:rsidRPr="00670221" w:rsidRDefault="000A5185" w:rsidP="0008074F">
      <w:pPr>
        <w:rPr>
          <w:lang w:val="en-US"/>
        </w:rPr>
      </w:pPr>
      <w:r w:rsidRPr="00670221">
        <w:rPr>
          <w:lang w:val="en-US"/>
        </w:rPr>
        <w:t xml:space="preserve">This thesis combined a socio-technical and a techno-economic analysis. </w:t>
      </w:r>
      <w:r w:rsidR="005F7423" w:rsidRPr="00670221">
        <w:rPr>
          <w:lang w:val="en-US"/>
        </w:rPr>
        <w:t>The socio-technical analysis used a literature review to examine technologies, actors, institutions, and networks, identifying technologies for further study and criteria for successful EU implementation.</w:t>
      </w:r>
      <w:r w:rsidRPr="00670221">
        <w:rPr>
          <w:lang w:val="en-US"/>
        </w:rPr>
        <w:t xml:space="preserve"> The subsequent techno-economic analysis evaluated the costs of selected technologies and feedstocks through a levelized cost analysis. Together, these analyses addressed the main research question: </w:t>
      </w:r>
      <w:r w:rsidR="00CB59BD" w:rsidRPr="00CB59BD">
        <w:rPr>
          <w:b/>
          <w:bCs/>
          <w:lang w:val="en-US"/>
        </w:rPr>
        <w:t>How can sustainable aviation fuel (SAF) be developed within the EU, specifically considering technologies that incorporate direct air capture (DAC)?</w:t>
      </w:r>
    </w:p>
    <w:p w14:paraId="3D361FCD" w14:textId="77777777" w:rsidR="008D5398" w:rsidRPr="00670221" w:rsidRDefault="008D5398" w:rsidP="0008074F">
      <w:pPr>
        <w:rPr>
          <w:lang w:val="en-US"/>
        </w:rPr>
      </w:pPr>
    </w:p>
    <w:p w14:paraId="777E6974" w14:textId="49A3340D" w:rsidR="0008074F" w:rsidRPr="00670221" w:rsidRDefault="00CB5CE8" w:rsidP="00891192">
      <w:pPr>
        <w:pStyle w:val="Heading2"/>
      </w:pPr>
      <w:bookmarkStart w:id="130" w:name="_Toc184403472"/>
      <w:r w:rsidRPr="00670221">
        <w:t xml:space="preserve">Sub Questions and </w:t>
      </w:r>
      <w:r w:rsidR="00891192" w:rsidRPr="00670221">
        <w:t xml:space="preserve">Key </w:t>
      </w:r>
      <w:r w:rsidRPr="00670221">
        <w:t>F</w:t>
      </w:r>
      <w:r w:rsidR="00891192" w:rsidRPr="00670221">
        <w:t>indings</w:t>
      </w:r>
      <w:bookmarkEnd w:id="130"/>
    </w:p>
    <w:p w14:paraId="7F36ED9B" w14:textId="7590C3A5" w:rsidR="007C440B" w:rsidRPr="00670221" w:rsidRDefault="00BB3AD9" w:rsidP="0008074F">
      <w:pPr>
        <w:rPr>
          <w:b/>
          <w:bCs/>
          <w:i/>
          <w:iCs/>
          <w:lang w:val="en-US"/>
        </w:rPr>
      </w:pPr>
      <w:r w:rsidRPr="00670221">
        <w:rPr>
          <w:b/>
          <w:bCs/>
          <w:i/>
          <w:iCs/>
          <w:lang w:val="en-US"/>
        </w:rPr>
        <w:t>SQ</w:t>
      </w:r>
      <w:r w:rsidR="00255CF5" w:rsidRPr="00670221">
        <w:rPr>
          <w:b/>
          <w:bCs/>
          <w:i/>
          <w:iCs/>
          <w:lang w:val="en-US"/>
        </w:rPr>
        <w:t xml:space="preserve"> </w:t>
      </w:r>
      <w:r w:rsidRPr="00670221">
        <w:rPr>
          <w:b/>
          <w:bCs/>
          <w:i/>
          <w:iCs/>
          <w:lang w:val="en-US"/>
        </w:rPr>
        <w:t xml:space="preserve">1: </w:t>
      </w:r>
      <w:r w:rsidR="004A2C8B" w:rsidRPr="004A2C8B">
        <w:rPr>
          <w:b/>
          <w:bCs/>
          <w:i/>
          <w:iCs/>
          <w:lang w:val="en-US"/>
        </w:rPr>
        <w:t xml:space="preserve">Which sustainable aviation fuel (SAF) technologies are promising for short-term viability in the EU, considering </w:t>
      </w:r>
      <w:r w:rsidR="004A2C8B">
        <w:rPr>
          <w:b/>
          <w:bCs/>
          <w:i/>
          <w:iCs/>
          <w:lang w:val="en-US"/>
        </w:rPr>
        <w:t>the</w:t>
      </w:r>
      <w:r w:rsidR="004A2C8B" w:rsidRPr="004A2C8B">
        <w:rPr>
          <w:b/>
          <w:bCs/>
          <w:i/>
          <w:iCs/>
          <w:lang w:val="en-US"/>
        </w:rPr>
        <w:t xml:space="preserve"> current socio-technical system</w:t>
      </w:r>
      <w:r w:rsidR="0008074F" w:rsidRPr="00670221">
        <w:rPr>
          <w:b/>
          <w:bCs/>
          <w:i/>
          <w:iCs/>
          <w:lang w:val="en-US"/>
        </w:rPr>
        <w:t>?</w:t>
      </w:r>
    </w:p>
    <w:p w14:paraId="2B3E4F6C" w14:textId="02B3CAB4" w:rsidR="006055C1" w:rsidRPr="00670221" w:rsidRDefault="006055C1" w:rsidP="006055C1">
      <w:pPr>
        <w:rPr>
          <w:lang w:val="en-US"/>
        </w:rPr>
      </w:pPr>
      <w:r w:rsidRPr="00670221">
        <w:rPr>
          <w:lang w:val="en-US"/>
        </w:rPr>
        <w:t>To analyze how technologies interacted with the socio-technical system, a literature review provided an overview of relevant technologies, followed by an assessment of the actors, institutions, and networks supporting their functionality, as outlined in the first step of the T</w:t>
      </w:r>
      <w:r w:rsidR="00EE1AEA">
        <w:rPr>
          <w:lang w:val="en-US"/>
        </w:rPr>
        <w:t>echnological Innovation System (T</w:t>
      </w:r>
      <w:r w:rsidRPr="00670221">
        <w:rPr>
          <w:lang w:val="en-US"/>
        </w:rPr>
        <w:t>IS</w:t>
      </w:r>
      <w:r w:rsidR="00EE1AEA">
        <w:rPr>
          <w:lang w:val="en-US"/>
        </w:rPr>
        <w:t>)</w:t>
      </w:r>
      <w:r w:rsidRPr="00670221">
        <w:rPr>
          <w:lang w:val="en-US"/>
        </w:rPr>
        <w:t xml:space="preserve"> framework. Insights from th</w:t>
      </w:r>
      <w:r w:rsidR="004146E2" w:rsidRPr="00670221">
        <w:rPr>
          <w:lang w:val="en-US"/>
        </w:rPr>
        <w:t>ese</w:t>
      </w:r>
      <w:r w:rsidRPr="00670221">
        <w:rPr>
          <w:lang w:val="en-US"/>
        </w:rPr>
        <w:t xml:space="preserve"> analys</w:t>
      </w:r>
      <w:r w:rsidR="004146E2" w:rsidRPr="00670221">
        <w:rPr>
          <w:lang w:val="en-US"/>
        </w:rPr>
        <w:t>es</w:t>
      </w:r>
      <w:r w:rsidRPr="00670221">
        <w:rPr>
          <w:lang w:val="en-US"/>
        </w:rPr>
        <w:t xml:space="preserve"> and the problem statement informed the development of technical requirements for assessing the technologies. This led to the selection of </w:t>
      </w:r>
      <w:r w:rsidR="00533D0E" w:rsidRPr="00670221">
        <w:rPr>
          <w:lang w:val="en-US"/>
        </w:rPr>
        <w:t>fossil, biogenic</w:t>
      </w:r>
      <w:r w:rsidR="00862457">
        <w:rPr>
          <w:lang w:val="en-US"/>
        </w:rPr>
        <w:t xml:space="preserve"> (BIO)</w:t>
      </w:r>
      <w:r w:rsidR="00533D0E" w:rsidRPr="00670221">
        <w:rPr>
          <w:lang w:val="en-US"/>
        </w:rPr>
        <w:t xml:space="preserve"> and </w:t>
      </w:r>
      <w:r w:rsidR="00862457">
        <w:rPr>
          <w:lang w:val="en-US"/>
        </w:rPr>
        <w:t>direct air capture (</w:t>
      </w:r>
      <w:r w:rsidR="00533D0E" w:rsidRPr="00670221">
        <w:rPr>
          <w:lang w:val="en-US"/>
        </w:rPr>
        <w:t>DAC</w:t>
      </w:r>
      <w:r w:rsidR="00862457">
        <w:rPr>
          <w:lang w:val="en-US"/>
        </w:rPr>
        <w:t>)</w:t>
      </w:r>
      <w:r w:rsidR="00533D0E" w:rsidRPr="00670221">
        <w:rPr>
          <w:lang w:val="en-US"/>
        </w:rPr>
        <w:t xml:space="preserve"> </w:t>
      </w:r>
      <w:r w:rsidRPr="00670221">
        <w:rPr>
          <w:lang w:val="en-US"/>
        </w:rPr>
        <w:t xml:space="preserve">carbon sources coupled with </w:t>
      </w:r>
      <w:r w:rsidR="00757BB3" w:rsidRPr="00670221">
        <w:rPr>
          <w:lang w:val="en-US"/>
        </w:rPr>
        <w:t>p</w:t>
      </w:r>
      <w:r w:rsidRPr="00670221">
        <w:rPr>
          <w:lang w:val="en-US"/>
        </w:rPr>
        <w:t xml:space="preserve">roton </w:t>
      </w:r>
      <w:r w:rsidR="00757BB3" w:rsidRPr="00670221">
        <w:rPr>
          <w:lang w:val="en-US"/>
        </w:rPr>
        <w:t>e</w:t>
      </w:r>
      <w:r w:rsidRPr="00670221">
        <w:rPr>
          <w:lang w:val="en-US"/>
        </w:rPr>
        <w:t xml:space="preserve">xchange </w:t>
      </w:r>
      <w:r w:rsidR="00757BB3" w:rsidRPr="00670221">
        <w:rPr>
          <w:lang w:val="en-US"/>
        </w:rPr>
        <w:t>m</w:t>
      </w:r>
      <w:r w:rsidRPr="00670221">
        <w:rPr>
          <w:lang w:val="en-US"/>
        </w:rPr>
        <w:t xml:space="preserve">embrane </w:t>
      </w:r>
      <w:r w:rsidR="00757BB3" w:rsidRPr="00670221">
        <w:rPr>
          <w:lang w:val="en-US"/>
        </w:rPr>
        <w:t>e</w:t>
      </w:r>
      <w:r w:rsidRPr="00670221">
        <w:rPr>
          <w:lang w:val="en-US"/>
        </w:rPr>
        <w:t>lectrolysis</w:t>
      </w:r>
      <w:r w:rsidR="00862457">
        <w:rPr>
          <w:lang w:val="en-US"/>
        </w:rPr>
        <w:t xml:space="preserve"> (PEM)</w:t>
      </w:r>
      <w:r w:rsidRPr="00670221">
        <w:rPr>
          <w:lang w:val="en-US"/>
        </w:rPr>
        <w:t xml:space="preserve">, </w:t>
      </w:r>
      <w:r w:rsidR="00862457">
        <w:rPr>
          <w:lang w:val="en-US"/>
        </w:rPr>
        <w:t>reverse water-gas shift (</w:t>
      </w:r>
      <w:r w:rsidRPr="00670221">
        <w:rPr>
          <w:lang w:val="en-US"/>
        </w:rPr>
        <w:t>RWGS</w:t>
      </w:r>
      <w:r w:rsidR="00862457">
        <w:rPr>
          <w:lang w:val="en-US"/>
        </w:rPr>
        <w:t>) reactor</w:t>
      </w:r>
      <w:r w:rsidRPr="00670221">
        <w:rPr>
          <w:lang w:val="en-US"/>
        </w:rPr>
        <w:t>, and Fischer-</w:t>
      </w:r>
      <w:proofErr w:type="spellStart"/>
      <w:r w:rsidRPr="00670221">
        <w:rPr>
          <w:lang w:val="en-US"/>
        </w:rPr>
        <w:t>Tropsch</w:t>
      </w:r>
      <w:proofErr w:type="spellEnd"/>
      <w:r w:rsidRPr="00670221">
        <w:rPr>
          <w:lang w:val="en-US"/>
        </w:rPr>
        <w:t xml:space="preserve"> </w:t>
      </w:r>
      <w:r w:rsidR="00862457">
        <w:rPr>
          <w:lang w:val="en-US"/>
        </w:rPr>
        <w:t xml:space="preserve">(FT) </w:t>
      </w:r>
      <w:r w:rsidRPr="00670221">
        <w:rPr>
          <w:lang w:val="en-US"/>
        </w:rPr>
        <w:t xml:space="preserve">synthesis, as well as </w:t>
      </w:r>
      <w:r w:rsidR="00757BB3" w:rsidRPr="00670221">
        <w:rPr>
          <w:lang w:val="en-US"/>
        </w:rPr>
        <w:t>s</w:t>
      </w:r>
      <w:r w:rsidRPr="00670221">
        <w:rPr>
          <w:lang w:val="en-US"/>
        </w:rPr>
        <w:t xml:space="preserve">olid </w:t>
      </w:r>
      <w:r w:rsidR="00757BB3" w:rsidRPr="00670221">
        <w:rPr>
          <w:lang w:val="en-US"/>
        </w:rPr>
        <w:t>o</w:t>
      </w:r>
      <w:r w:rsidRPr="00670221">
        <w:rPr>
          <w:lang w:val="en-US"/>
        </w:rPr>
        <w:t xml:space="preserve">xide </w:t>
      </w:r>
      <w:r w:rsidR="00757BB3" w:rsidRPr="00670221">
        <w:rPr>
          <w:lang w:val="en-US"/>
        </w:rPr>
        <w:t>c</w:t>
      </w:r>
      <w:r w:rsidRPr="00670221">
        <w:rPr>
          <w:lang w:val="en-US"/>
        </w:rPr>
        <w:t xml:space="preserve">o-electrolysis </w:t>
      </w:r>
      <w:r w:rsidR="00862457">
        <w:rPr>
          <w:lang w:val="en-US"/>
        </w:rPr>
        <w:t xml:space="preserve">(SOE) </w:t>
      </w:r>
      <w:r w:rsidRPr="00670221">
        <w:rPr>
          <w:lang w:val="en-US"/>
        </w:rPr>
        <w:t>with Fischer-</w:t>
      </w:r>
      <w:proofErr w:type="spellStart"/>
      <w:r w:rsidRPr="00670221">
        <w:rPr>
          <w:lang w:val="en-US"/>
        </w:rPr>
        <w:t>Tropsch</w:t>
      </w:r>
      <w:proofErr w:type="spellEnd"/>
      <w:r w:rsidRPr="00670221">
        <w:rPr>
          <w:lang w:val="en-US"/>
        </w:rPr>
        <w:t xml:space="preserve"> </w:t>
      </w:r>
      <w:r w:rsidR="00862457">
        <w:rPr>
          <w:lang w:val="en-US"/>
        </w:rPr>
        <w:t xml:space="preserve">(FT) </w:t>
      </w:r>
      <w:r w:rsidRPr="00670221">
        <w:rPr>
          <w:lang w:val="en-US"/>
        </w:rPr>
        <w:t>synthesis, for further study.</w:t>
      </w:r>
    </w:p>
    <w:p w14:paraId="09E459E0" w14:textId="20D170F6" w:rsidR="00481FE8" w:rsidRDefault="00481FE8" w:rsidP="0008074F">
      <w:pPr>
        <w:rPr>
          <w:lang w:val="en-US"/>
        </w:rPr>
      </w:pPr>
      <w:r w:rsidRPr="00670221">
        <w:rPr>
          <w:lang w:val="en-US"/>
        </w:rPr>
        <w:t xml:space="preserve">Non-technical requirements essential for short-term implementation were derived from the socio-technical analyses. The actor and network analysis emphasized </w:t>
      </w:r>
      <w:r w:rsidR="004A4D81">
        <w:rPr>
          <w:lang w:val="en-US"/>
        </w:rPr>
        <w:t>that the</w:t>
      </w:r>
      <w:r w:rsidR="004A4D81" w:rsidRPr="00442CB0">
        <w:rPr>
          <w:lang w:val="en-US"/>
        </w:rPr>
        <w:t xml:space="preserve"> development of new sustainable aviation fuel (SAF) capacity should, at a minimum, involve fuel conversion technology providers, knowledge institutes, and airlines. Additionally, energy providers, feedstock suppliers, and infrastructure providers play crucial roles and are highly interconnected, highlighting the importance of collaboration across the supply chain</w:t>
      </w:r>
      <w:r w:rsidR="004A4D81">
        <w:rPr>
          <w:lang w:val="en-US"/>
        </w:rPr>
        <w:t xml:space="preserve">. </w:t>
      </w:r>
      <w:r w:rsidRPr="00670221">
        <w:rPr>
          <w:lang w:val="en-US"/>
        </w:rPr>
        <w:t xml:space="preserve">High costs, economies of scale, narrow profit margins, and low initial demand necessitated collective investments, with IATA potentially coordinating efforts, particularly in EU states with specific </w:t>
      </w:r>
      <w:r w:rsidR="00862457">
        <w:rPr>
          <w:lang w:val="en-US"/>
        </w:rPr>
        <w:t>synthetic sustainable aviation fuel (</w:t>
      </w:r>
      <w:proofErr w:type="spellStart"/>
      <w:r w:rsidRPr="00670221">
        <w:rPr>
          <w:lang w:val="en-US"/>
        </w:rPr>
        <w:t>eSAF</w:t>
      </w:r>
      <w:proofErr w:type="spellEnd"/>
      <w:r w:rsidR="00862457">
        <w:rPr>
          <w:lang w:val="en-US"/>
        </w:rPr>
        <w:t>)</w:t>
      </w:r>
      <w:r w:rsidRPr="00670221">
        <w:rPr>
          <w:lang w:val="en-US"/>
        </w:rPr>
        <w:t xml:space="preserve"> regulations. Strategically, </w:t>
      </w:r>
      <w:proofErr w:type="spellStart"/>
      <w:r w:rsidRPr="00670221">
        <w:rPr>
          <w:lang w:val="en-US"/>
        </w:rPr>
        <w:t>eSAF</w:t>
      </w:r>
      <w:proofErr w:type="spellEnd"/>
      <w:r w:rsidRPr="00670221">
        <w:rPr>
          <w:lang w:val="en-US"/>
        </w:rPr>
        <w:t xml:space="preserve"> production sites should prioritize proximity to renewable energy generation to reduce grid congestion and to fueling infrastructure to minimize logistical costs. Renewable-heavy grids in regions like Iceland or Norway were identified as ideal short-term locations, addressing intermittency despite higher costs. Locating facilities in areas without alternative carbon sources strengthened the business case for </w:t>
      </w:r>
      <w:r w:rsidR="00CB62D5">
        <w:rPr>
          <w:lang w:val="en-US"/>
        </w:rPr>
        <w:t>direct air capture</w:t>
      </w:r>
      <w:r w:rsidRPr="00670221">
        <w:rPr>
          <w:lang w:val="en-US"/>
        </w:rPr>
        <w:t xml:space="preserve"> by reducing reliance on limited carbon infrastructure. The policy analysis highlighted the need for a level playing field between </w:t>
      </w:r>
      <w:r w:rsidR="004B3FFC" w:rsidRPr="00670221">
        <w:rPr>
          <w:lang w:val="en-US"/>
        </w:rPr>
        <w:t>green</w:t>
      </w:r>
      <w:r w:rsidRPr="00670221">
        <w:rPr>
          <w:lang w:val="en-US"/>
        </w:rPr>
        <w:t xml:space="preserve"> and fossil-based carbon sources, as free allowances under the EU ETS could unfairly favor fossil CO₂. Timely phasing out of these credits is necessary to support DAC </w:t>
      </w:r>
      <w:r w:rsidR="004B3FFC" w:rsidRPr="00670221">
        <w:rPr>
          <w:lang w:val="en-US"/>
        </w:rPr>
        <w:t xml:space="preserve">and biogenic CO₂ </w:t>
      </w:r>
      <w:r w:rsidRPr="00670221">
        <w:rPr>
          <w:lang w:val="en-US"/>
        </w:rPr>
        <w:t xml:space="preserve">adoption. </w:t>
      </w:r>
      <w:r w:rsidR="00FD49F6" w:rsidRPr="00FD49F6">
        <w:rPr>
          <w:lang w:val="en-US"/>
        </w:rPr>
        <w:t xml:space="preserve">While short-term efforts focus on leveraging renewable-heavy grids, coupling </w:t>
      </w:r>
      <w:proofErr w:type="spellStart"/>
      <w:r w:rsidR="00FD49F6" w:rsidRPr="00FD49F6">
        <w:rPr>
          <w:lang w:val="en-US"/>
        </w:rPr>
        <w:t>eSAF</w:t>
      </w:r>
      <w:proofErr w:type="spellEnd"/>
      <w:r w:rsidR="00FD49F6" w:rsidRPr="00FD49F6">
        <w:rPr>
          <w:lang w:val="en-US"/>
        </w:rPr>
        <w:t xml:space="preserve"> </w:t>
      </w:r>
      <w:r w:rsidR="00FD49F6" w:rsidRPr="00FD49F6">
        <w:rPr>
          <w:lang w:val="en-US"/>
        </w:rPr>
        <w:lastRenderedPageBreak/>
        <w:t>production with nuclear energy presents a potential long-term strategy for providing stable, low-carbon energy, aligning with the EU’s 2050 mandates.</w:t>
      </w:r>
    </w:p>
    <w:p w14:paraId="4DF9D5C2" w14:textId="77777777" w:rsidR="00E64C27" w:rsidRPr="00670221" w:rsidRDefault="00E64C27" w:rsidP="0008074F">
      <w:pPr>
        <w:rPr>
          <w:lang w:val="en-US"/>
        </w:rPr>
      </w:pPr>
    </w:p>
    <w:p w14:paraId="3043CDA0" w14:textId="03C0E196" w:rsidR="0008074F" w:rsidRPr="00670221" w:rsidRDefault="0008074F" w:rsidP="0008074F">
      <w:pPr>
        <w:rPr>
          <w:b/>
          <w:bCs/>
          <w:i/>
          <w:iCs/>
          <w:lang w:val="en-US"/>
        </w:rPr>
      </w:pPr>
      <w:r w:rsidRPr="00670221">
        <w:rPr>
          <w:b/>
          <w:bCs/>
          <w:i/>
          <w:iCs/>
          <w:lang w:val="en-US"/>
        </w:rPr>
        <w:t>SQ 2: How do the identified technologies perform in their overall costs?</w:t>
      </w:r>
    </w:p>
    <w:p w14:paraId="2578EED3" w14:textId="6E82E890" w:rsidR="00593D26" w:rsidRPr="00670221" w:rsidRDefault="001F1135" w:rsidP="0008074F">
      <w:pPr>
        <w:rPr>
          <w:lang w:val="en-US"/>
        </w:rPr>
      </w:pPr>
      <w:r w:rsidRPr="00670221">
        <w:rPr>
          <w:lang w:val="en-US"/>
        </w:rPr>
        <w:t>A levelized cost analysis</w:t>
      </w:r>
      <w:r w:rsidR="00EE1AEA">
        <w:rPr>
          <w:lang w:val="en-US"/>
        </w:rPr>
        <w:t xml:space="preserve"> (LCA)</w:t>
      </w:r>
      <w:r w:rsidRPr="00670221">
        <w:rPr>
          <w:lang w:val="en-US"/>
        </w:rPr>
        <w:t xml:space="preserve"> was conducted to </w:t>
      </w:r>
      <w:r w:rsidR="00ED6A05" w:rsidRPr="00670221">
        <w:rPr>
          <w:lang w:val="en-US"/>
        </w:rPr>
        <w:t>calculate the cost of sustainable aviation fuel</w:t>
      </w:r>
      <w:r w:rsidR="00EE1AEA">
        <w:rPr>
          <w:lang w:val="en-US"/>
        </w:rPr>
        <w:t xml:space="preserve"> (SAF)</w:t>
      </w:r>
      <w:r w:rsidR="00ED6A05" w:rsidRPr="00670221">
        <w:rPr>
          <w:lang w:val="en-US"/>
        </w:rPr>
        <w:t xml:space="preserve">. </w:t>
      </w:r>
      <w:r w:rsidR="00341C1B" w:rsidRPr="00670221">
        <w:rPr>
          <w:lang w:val="en-US"/>
        </w:rPr>
        <w:t xml:space="preserve">Data on the performance of </w:t>
      </w:r>
      <w:r w:rsidR="00E35CDB" w:rsidRPr="00670221">
        <w:rPr>
          <w:lang w:val="en-US"/>
        </w:rPr>
        <w:t>these</w:t>
      </w:r>
      <w:r w:rsidR="00341C1B" w:rsidRPr="00670221">
        <w:rPr>
          <w:lang w:val="en-US"/>
        </w:rPr>
        <w:t xml:space="preserve"> technologies was sourced from literature</w:t>
      </w:r>
      <w:r w:rsidR="00E35CDB" w:rsidRPr="00670221">
        <w:rPr>
          <w:lang w:val="en-US"/>
        </w:rPr>
        <w:t xml:space="preserve">, while </w:t>
      </w:r>
      <w:r w:rsidR="00B04375" w:rsidRPr="00670221">
        <w:rPr>
          <w:lang w:val="en-US"/>
        </w:rPr>
        <w:t>direct air capture</w:t>
      </w:r>
      <w:r w:rsidR="00E35CDB" w:rsidRPr="00670221">
        <w:rPr>
          <w:lang w:val="en-US"/>
        </w:rPr>
        <w:t xml:space="preserve"> </w:t>
      </w:r>
      <w:r w:rsidR="00EE1AEA">
        <w:rPr>
          <w:lang w:val="en-US"/>
        </w:rPr>
        <w:t xml:space="preserve">(DAC) </w:t>
      </w:r>
      <w:r w:rsidR="00E35CDB" w:rsidRPr="00670221">
        <w:rPr>
          <w:lang w:val="en-US"/>
        </w:rPr>
        <w:t>data was provided by Skytree.</w:t>
      </w:r>
    </w:p>
    <w:p w14:paraId="4319BD10" w14:textId="11B9DE0C" w:rsidR="004C03AA" w:rsidRPr="00670221" w:rsidRDefault="00EB3EAF" w:rsidP="00D47557">
      <w:pPr>
        <w:rPr>
          <w:lang w:val="en-US"/>
        </w:rPr>
      </w:pPr>
      <w:r w:rsidRPr="00670221">
        <w:rPr>
          <w:lang w:val="en-US"/>
        </w:rPr>
        <w:t xml:space="preserve">The section begins by calculating CO₂ costs for DAC and other alternatives, which are essential inputs for determining the </w:t>
      </w:r>
      <w:r w:rsidR="00781281" w:rsidRPr="00670221">
        <w:rPr>
          <w:lang w:val="en-US"/>
        </w:rPr>
        <w:t>l</w:t>
      </w:r>
      <w:r w:rsidRPr="00670221">
        <w:rPr>
          <w:lang w:val="en-US"/>
        </w:rPr>
        <w:t xml:space="preserve">evelized </w:t>
      </w:r>
      <w:r w:rsidR="00781281" w:rsidRPr="00670221">
        <w:rPr>
          <w:lang w:val="en-US"/>
        </w:rPr>
        <w:t>c</w:t>
      </w:r>
      <w:r w:rsidRPr="00670221">
        <w:rPr>
          <w:lang w:val="en-US"/>
        </w:rPr>
        <w:t xml:space="preserve">ost of </w:t>
      </w:r>
      <w:r w:rsidR="00781281" w:rsidRPr="00670221">
        <w:rPr>
          <w:lang w:val="en-US"/>
        </w:rPr>
        <w:t>f</w:t>
      </w:r>
      <w:r w:rsidRPr="00670221">
        <w:rPr>
          <w:lang w:val="en-US"/>
        </w:rPr>
        <w:t>uel</w:t>
      </w:r>
      <w:r w:rsidR="005D4C86" w:rsidRPr="00670221">
        <w:rPr>
          <w:lang w:val="en-US"/>
        </w:rPr>
        <w:t xml:space="preserve">. </w:t>
      </w:r>
      <w:r w:rsidR="009521A6" w:rsidRPr="00670221">
        <w:rPr>
          <w:lang w:val="en-US"/>
        </w:rPr>
        <w:t xml:space="preserve">In this analysis, DAC CO₂ costs </w:t>
      </w:r>
      <w:r w:rsidR="000F0430">
        <w:rPr>
          <w:lang w:val="en-US"/>
        </w:rPr>
        <w:t>were</w:t>
      </w:r>
      <w:r w:rsidR="009521A6" w:rsidRPr="00670221">
        <w:rPr>
          <w:lang w:val="en-US"/>
        </w:rPr>
        <w:t xml:space="preserve"> </w:t>
      </w:r>
      <w:r w:rsidR="006E75BD">
        <w:rPr>
          <w:lang w:val="en-US"/>
        </w:rPr>
        <w:t xml:space="preserve">initially </w:t>
      </w:r>
      <w:r w:rsidR="009521A6" w:rsidRPr="00670221">
        <w:rPr>
          <w:lang w:val="en-US"/>
        </w:rPr>
        <w:t>higher than other sources but became cheaper than low-concentration fossil CO₂ by 2028 and high-concentration fossil CO₂ by 2030. Rising EU ETS carbon prices, nearing €100/ton by 2025, significantly increased fossil CO₂ costs. DAC surpassed low-concentration biogenic CO₂ in cost efficiency by 2040, while high-concentration biogenic CO₂ remained the most cost-effective option throughout at €52.80/ton</w:t>
      </w:r>
      <w:r w:rsidR="00D47557" w:rsidRPr="00670221">
        <w:rPr>
          <w:lang w:val="en-US"/>
        </w:rPr>
        <w:t>. This prompted the focus on DAC and high-concentration biogenic CO₂ in further analyses, as these represent the most competitive and relevant options for the technological pathways.</w:t>
      </w:r>
    </w:p>
    <w:p w14:paraId="04A24BAE" w14:textId="7410AEF7" w:rsidR="008D273C" w:rsidRPr="00670221" w:rsidRDefault="00D74AC2" w:rsidP="00D47557">
      <w:pPr>
        <w:rPr>
          <w:lang w:val="en-US"/>
        </w:rPr>
      </w:pPr>
      <w:r w:rsidRPr="00670221">
        <w:rPr>
          <w:lang w:val="en-US"/>
        </w:rPr>
        <w:t xml:space="preserve">The analysis compared the levelized cost of various </w:t>
      </w:r>
      <w:proofErr w:type="spellStart"/>
      <w:r w:rsidRPr="00670221">
        <w:rPr>
          <w:lang w:val="en-US"/>
        </w:rPr>
        <w:t>eSAF</w:t>
      </w:r>
      <w:proofErr w:type="spellEnd"/>
      <w:r w:rsidRPr="00670221">
        <w:rPr>
          <w:lang w:val="en-US"/>
        </w:rPr>
        <w:t xml:space="preserve"> </w:t>
      </w:r>
      <w:r w:rsidR="00757BB3" w:rsidRPr="00670221">
        <w:rPr>
          <w:lang w:val="en-US"/>
        </w:rPr>
        <w:t>technologies</w:t>
      </w:r>
      <w:r w:rsidRPr="00670221">
        <w:rPr>
          <w:lang w:val="en-US"/>
        </w:rPr>
        <w:t xml:space="preserve"> and feedstocks with fossil kerosene, </w:t>
      </w:r>
      <w:r w:rsidR="00781281" w:rsidRPr="00670221">
        <w:rPr>
          <w:lang w:val="en-US"/>
        </w:rPr>
        <w:t>which included</w:t>
      </w:r>
      <w:r w:rsidRPr="00670221">
        <w:rPr>
          <w:lang w:val="en-US"/>
        </w:rPr>
        <w:t xml:space="preserve"> EU ETS costs. The most expensive option, DAC combined with </w:t>
      </w:r>
      <w:r w:rsidR="00290F50">
        <w:rPr>
          <w:lang w:val="en-US"/>
        </w:rPr>
        <w:t xml:space="preserve">solid oxide </w:t>
      </w:r>
      <w:r w:rsidRPr="00670221">
        <w:rPr>
          <w:lang w:val="en-US"/>
        </w:rPr>
        <w:t>co-electrolysis</w:t>
      </w:r>
      <w:r w:rsidR="00290F50">
        <w:rPr>
          <w:lang w:val="en-US"/>
        </w:rPr>
        <w:t xml:space="preserve"> (SOE)</w:t>
      </w:r>
      <w:r w:rsidRPr="00670221">
        <w:rPr>
          <w:lang w:val="en-US"/>
        </w:rPr>
        <w:t xml:space="preserve"> and Fischer-</w:t>
      </w:r>
      <w:proofErr w:type="spellStart"/>
      <w:r w:rsidRPr="00670221">
        <w:rPr>
          <w:lang w:val="en-US"/>
        </w:rPr>
        <w:t>Tropsch</w:t>
      </w:r>
      <w:proofErr w:type="spellEnd"/>
      <w:r w:rsidRPr="00670221">
        <w:rPr>
          <w:lang w:val="en-US"/>
        </w:rPr>
        <w:t xml:space="preserve"> </w:t>
      </w:r>
      <w:r w:rsidR="00290F50">
        <w:rPr>
          <w:lang w:val="en-US"/>
        </w:rPr>
        <w:t xml:space="preserve">(FT) </w:t>
      </w:r>
      <w:r w:rsidRPr="00670221">
        <w:rPr>
          <w:lang w:val="en-US"/>
        </w:rPr>
        <w:t xml:space="preserve">synthesis, saw the largest cost reduction from €4.20/liter to €2.07/liter by 2050 but remained the costliest route throughout the period, currently 6 to 9 times more expensive than fossil kerosene. The cheapest pathway, </w:t>
      </w:r>
      <w:r w:rsidR="005E1520">
        <w:rPr>
          <w:lang w:val="en-US"/>
        </w:rPr>
        <w:t>proton exchange membrane electrolysis</w:t>
      </w:r>
      <w:r w:rsidR="00ED70EA">
        <w:rPr>
          <w:lang w:val="en-US"/>
        </w:rPr>
        <w:t xml:space="preserve"> </w:t>
      </w:r>
      <w:r w:rsidR="00ED70EA">
        <w:rPr>
          <w:lang w:val="en-US"/>
        </w:rPr>
        <w:t>(</w:t>
      </w:r>
      <w:r w:rsidR="00ED70EA" w:rsidRPr="00670221">
        <w:rPr>
          <w:lang w:val="en-US"/>
        </w:rPr>
        <w:t>PEM</w:t>
      </w:r>
      <w:r w:rsidR="00ED70EA">
        <w:rPr>
          <w:lang w:val="en-US"/>
        </w:rPr>
        <w:t xml:space="preserve">) </w:t>
      </w:r>
      <w:r w:rsidR="005E1520">
        <w:rPr>
          <w:lang w:val="en-US"/>
        </w:rPr>
        <w:t>coupled with</w:t>
      </w:r>
      <w:r w:rsidRPr="00670221">
        <w:rPr>
          <w:lang w:val="en-US"/>
        </w:rPr>
        <w:t xml:space="preserve"> </w:t>
      </w:r>
      <w:r w:rsidR="00645891">
        <w:rPr>
          <w:lang w:val="en-US"/>
        </w:rPr>
        <w:t>reverse water-gas shift (</w:t>
      </w:r>
      <w:r w:rsidRPr="00670221">
        <w:rPr>
          <w:lang w:val="en-US"/>
        </w:rPr>
        <w:t>RWGS</w:t>
      </w:r>
      <w:r w:rsidR="00645891">
        <w:rPr>
          <w:lang w:val="en-US"/>
        </w:rPr>
        <w:t xml:space="preserve">) </w:t>
      </w:r>
      <w:r w:rsidR="00391754">
        <w:rPr>
          <w:lang w:val="en-US"/>
        </w:rPr>
        <w:t xml:space="preserve">reactor, </w:t>
      </w:r>
      <w:r w:rsidR="00391754" w:rsidRPr="00670221">
        <w:rPr>
          <w:lang w:val="en-US"/>
        </w:rPr>
        <w:t>Fischer</w:t>
      </w:r>
      <w:r w:rsidR="00645891">
        <w:rPr>
          <w:lang w:val="en-US"/>
        </w:rPr>
        <w:t>-</w:t>
      </w:r>
      <w:proofErr w:type="spellStart"/>
      <w:r w:rsidR="00645891">
        <w:rPr>
          <w:lang w:val="en-US"/>
        </w:rPr>
        <w:t>Tropsch</w:t>
      </w:r>
      <w:proofErr w:type="spellEnd"/>
      <w:r w:rsidR="00645891">
        <w:rPr>
          <w:lang w:val="en-US"/>
        </w:rPr>
        <w:t xml:space="preserve"> (</w:t>
      </w:r>
      <w:r w:rsidRPr="00670221">
        <w:rPr>
          <w:lang w:val="en-US"/>
        </w:rPr>
        <w:t>FT</w:t>
      </w:r>
      <w:r w:rsidR="00645891">
        <w:rPr>
          <w:lang w:val="en-US"/>
        </w:rPr>
        <w:t>) synthesis</w:t>
      </w:r>
      <w:r w:rsidRPr="00670221">
        <w:rPr>
          <w:lang w:val="en-US"/>
        </w:rPr>
        <w:t xml:space="preserve"> </w:t>
      </w:r>
      <w:r w:rsidR="00645891">
        <w:rPr>
          <w:lang w:val="en-US"/>
        </w:rPr>
        <w:t>and</w:t>
      </w:r>
      <w:r w:rsidRPr="00670221">
        <w:rPr>
          <w:lang w:val="en-US"/>
        </w:rPr>
        <w:t xml:space="preserve"> biogenic CO₂, was priced at €2.27/liter in 2024 and remained the most cost-effective, though still 4 to 5 times more expensive than fossil jet fuel. By 2033, </w:t>
      </w:r>
      <w:r w:rsidR="00645891">
        <w:rPr>
          <w:lang w:val="en-US"/>
        </w:rPr>
        <w:t>proton exchange membrane electrolysis</w:t>
      </w:r>
      <w:r w:rsidR="00ED70EA">
        <w:rPr>
          <w:lang w:val="en-US"/>
        </w:rPr>
        <w:t xml:space="preserve"> </w:t>
      </w:r>
      <w:r w:rsidR="00ED70EA">
        <w:rPr>
          <w:lang w:val="en-US"/>
        </w:rPr>
        <w:t>(</w:t>
      </w:r>
      <w:r w:rsidR="00ED70EA" w:rsidRPr="00670221">
        <w:rPr>
          <w:lang w:val="en-US"/>
        </w:rPr>
        <w:t>PEM</w:t>
      </w:r>
      <w:r w:rsidR="00ED70EA">
        <w:rPr>
          <w:lang w:val="en-US"/>
        </w:rPr>
        <w:t>)</w:t>
      </w:r>
      <w:r w:rsidR="00645891">
        <w:rPr>
          <w:lang w:val="en-US"/>
        </w:rPr>
        <w:t xml:space="preserve"> coupled with</w:t>
      </w:r>
      <w:r w:rsidR="00645891" w:rsidRPr="00670221">
        <w:rPr>
          <w:lang w:val="en-US"/>
        </w:rPr>
        <w:t xml:space="preserve"> </w:t>
      </w:r>
      <w:r w:rsidR="00645891">
        <w:rPr>
          <w:lang w:val="en-US"/>
        </w:rPr>
        <w:t>reverse water-gas shift (</w:t>
      </w:r>
      <w:r w:rsidR="00645891" w:rsidRPr="00670221">
        <w:rPr>
          <w:lang w:val="en-US"/>
        </w:rPr>
        <w:t>RWGS</w:t>
      </w:r>
      <w:r w:rsidR="00645891">
        <w:rPr>
          <w:lang w:val="en-US"/>
        </w:rPr>
        <w:t xml:space="preserve">) </w:t>
      </w:r>
      <w:r w:rsidR="001747F8">
        <w:rPr>
          <w:lang w:val="en-US"/>
        </w:rPr>
        <w:t xml:space="preserve">reactor, </w:t>
      </w:r>
      <w:r w:rsidR="001747F8" w:rsidRPr="00670221">
        <w:rPr>
          <w:lang w:val="en-US"/>
        </w:rPr>
        <w:t>Fischer</w:t>
      </w:r>
      <w:r w:rsidR="00645891">
        <w:rPr>
          <w:lang w:val="en-US"/>
        </w:rPr>
        <w:t>-</w:t>
      </w:r>
      <w:proofErr w:type="spellStart"/>
      <w:r w:rsidR="00645891">
        <w:rPr>
          <w:lang w:val="en-US"/>
        </w:rPr>
        <w:t>Tropsch</w:t>
      </w:r>
      <w:proofErr w:type="spellEnd"/>
      <w:r w:rsidR="00645891">
        <w:rPr>
          <w:lang w:val="en-US"/>
        </w:rPr>
        <w:t xml:space="preserve"> (</w:t>
      </w:r>
      <w:r w:rsidR="00645891" w:rsidRPr="00670221">
        <w:rPr>
          <w:lang w:val="en-US"/>
        </w:rPr>
        <w:t>FT</w:t>
      </w:r>
      <w:r w:rsidR="00645891">
        <w:rPr>
          <w:lang w:val="en-US"/>
        </w:rPr>
        <w:t>) synthesis</w:t>
      </w:r>
      <w:r w:rsidR="00645891" w:rsidRPr="00670221">
        <w:rPr>
          <w:lang w:val="en-US"/>
        </w:rPr>
        <w:t xml:space="preserve"> </w:t>
      </w:r>
      <w:r w:rsidR="00645891">
        <w:rPr>
          <w:lang w:val="en-US"/>
        </w:rPr>
        <w:t>and</w:t>
      </w:r>
      <w:r w:rsidRPr="00670221">
        <w:rPr>
          <w:lang w:val="en-US"/>
        </w:rPr>
        <w:t xml:space="preserve"> DAC became more economical than </w:t>
      </w:r>
      <w:r w:rsidR="00645891">
        <w:rPr>
          <w:lang w:val="en-US"/>
        </w:rPr>
        <w:t xml:space="preserve">solid oxide </w:t>
      </w:r>
      <w:r w:rsidRPr="00670221">
        <w:rPr>
          <w:lang w:val="en-US"/>
        </w:rPr>
        <w:t xml:space="preserve">co-electrolysis </w:t>
      </w:r>
      <w:r w:rsidR="001747F8">
        <w:rPr>
          <w:lang w:val="en-US"/>
        </w:rPr>
        <w:t>(SOE) with Fischer-</w:t>
      </w:r>
      <w:proofErr w:type="spellStart"/>
      <w:r w:rsidR="001747F8">
        <w:rPr>
          <w:lang w:val="en-US"/>
        </w:rPr>
        <w:t>Tropsch</w:t>
      </w:r>
      <w:proofErr w:type="spellEnd"/>
      <w:r w:rsidR="001747F8">
        <w:rPr>
          <w:lang w:val="en-US"/>
        </w:rPr>
        <w:t xml:space="preserve"> (FT) synthesis</w:t>
      </w:r>
      <w:r w:rsidRPr="00670221">
        <w:rPr>
          <w:lang w:val="en-US"/>
        </w:rPr>
        <w:t xml:space="preserve"> </w:t>
      </w:r>
      <w:r w:rsidR="001747F8">
        <w:rPr>
          <w:lang w:val="en-US"/>
        </w:rPr>
        <w:t>and</w:t>
      </w:r>
      <w:r w:rsidRPr="00670221">
        <w:rPr>
          <w:lang w:val="en-US"/>
        </w:rPr>
        <w:t xml:space="preserve"> biogenic CO</w:t>
      </w:r>
      <w:r w:rsidR="007912D0" w:rsidRPr="00670221">
        <w:rPr>
          <w:lang w:val="en-US"/>
        </w:rPr>
        <w:t>2</w:t>
      </w:r>
      <w:r w:rsidR="008307BB" w:rsidRPr="00670221">
        <w:rPr>
          <w:lang w:val="en-US"/>
        </w:rPr>
        <w:t xml:space="preserve">. </w:t>
      </w:r>
      <w:r w:rsidRPr="00670221">
        <w:rPr>
          <w:lang w:val="en-US"/>
        </w:rPr>
        <w:t xml:space="preserve">By 2050, all </w:t>
      </w:r>
      <w:r w:rsidR="001747F8">
        <w:rPr>
          <w:lang w:val="en-US"/>
        </w:rPr>
        <w:t>synthetic sustainable aviation fuel</w:t>
      </w:r>
      <w:r w:rsidRPr="00670221">
        <w:rPr>
          <w:lang w:val="en-US"/>
        </w:rPr>
        <w:t xml:space="preserve"> </w:t>
      </w:r>
      <w:r w:rsidR="00ED70EA">
        <w:rPr>
          <w:lang w:val="en-US"/>
        </w:rPr>
        <w:t>(</w:t>
      </w:r>
      <w:proofErr w:type="spellStart"/>
      <w:r w:rsidR="00ED70EA">
        <w:rPr>
          <w:lang w:val="en-US"/>
        </w:rPr>
        <w:t>eSAF</w:t>
      </w:r>
      <w:proofErr w:type="spellEnd"/>
      <w:r w:rsidR="00ED70EA">
        <w:rPr>
          <w:lang w:val="en-US"/>
        </w:rPr>
        <w:t xml:space="preserve">) </w:t>
      </w:r>
      <w:r w:rsidRPr="00670221">
        <w:rPr>
          <w:lang w:val="en-US"/>
        </w:rPr>
        <w:t xml:space="preserve">pathways are expected to cost between €1.80 and €2.00/liter, with </w:t>
      </w:r>
      <w:r w:rsidR="001747F8">
        <w:rPr>
          <w:lang w:val="en-US"/>
        </w:rPr>
        <w:t>proton exchange membrane electrolysis (</w:t>
      </w:r>
      <w:r w:rsidRPr="00670221">
        <w:rPr>
          <w:lang w:val="en-US"/>
        </w:rPr>
        <w:t>PEM</w:t>
      </w:r>
      <w:r w:rsidR="001747F8">
        <w:rPr>
          <w:lang w:val="en-US"/>
        </w:rPr>
        <w:t>)</w:t>
      </w:r>
      <w:r w:rsidRPr="00670221">
        <w:rPr>
          <w:lang w:val="en-US"/>
        </w:rPr>
        <w:t xml:space="preserve"> technology emerging as the most economic</w:t>
      </w:r>
      <w:r w:rsidR="0083742F" w:rsidRPr="00670221">
        <w:rPr>
          <w:lang w:val="en-US"/>
        </w:rPr>
        <w:t>al</w:t>
      </w:r>
      <w:r w:rsidRPr="00670221">
        <w:rPr>
          <w:lang w:val="en-US"/>
        </w:rPr>
        <w:t xml:space="preserve"> and </w:t>
      </w:r>
      <w:proofErr w:type="spellStart"/>
      <w:r w:rsidRPr="00670221">
        <w:rPr>
          <w:lang w:val="en-US"/>
        </w:rPr>
        <w:t>eSAF</w:t>
      </w:r>
      <w:proofErr w:type="spellEnd"/>
      <w:r w:rsidRPr="00670221">
        <w:rPr>
          <w:lang w:val="en-US"/>
        </w:rPr>
        <w:t xml:space="preserve"> prices ranging from 1 to 2 times the cost of fossil kerosene</w:t>
      </w:r>
      <w:r w:rsidR="0061251B" w:rsidRPr="00670221">
        <w:rPr>
          <w:lang w:val="en-US"/>
        </w:rPr>
        <w:t xml:space="preserve">. </w:t>
      </w:r>
      <w:r w:rsidR="00BD15AE" w:rsidRPr="00670221">
        <w:rPr>
          <w:lang w:val="en-US"/>
        </w:rPr>
        <w:t xml:space="preserve">Since the trajectory of EU ETS prices, particularly beyond 2041—the limit of current forecasts in this model—remains uncertain, regulatory adjustments to the EU ETS market dynamics should be closely monitored. Such adjustments will play a critical role in determining </w:t>
      </w:r>
      <w:r w:rsidR="00ED43EE">
        <w:rPr>
          <w:lang w:val="en-US"/>
        </w:rPr>
        <w:t>direct air capture’s</w:t>
      </w:r>
      <w:r w:rsidR="00BD15AE" w:rsidRPr="00670221">
        <w:rPr>
          <w:lang w:val="en-US"/>
        </w:rPr>
        <w:t xml:space="preserve"> competitiveness against fossil CO₂ sources and the economic viability of </w:t>
      </w:r>
      <w:r w:rsidR="00ED43EE">
        <w:rPr>
          <w:lang w:val="en-US"/>
        </w:rPr>
        <w:t>synthetic sustainable aviation fuel</w:t>
      </w:r>
      <w:r w:rsidR="00BD15AE" w:rsidRPr="00670221">
        <w:rPr>
          <w:lang w:val="en-US"/>
        </w:rPr>
        <w:t xml:space="preserve"> compared to fossil kerosene.</w:t>
      </w:r>
    </w:p>
    <w:p w14:paraId="7BA581B7" w14:textId="77777777" w:rsidR="00BD15AE" w:rsidRPr="00670221" w:rsidRDefault="00BD15AE" w:rsidP="00D47557">
      <w:pPr>
        <w:rPr>
          <w:lang w:val="en-US"/>
        </w:rPr>
      </w:pPr>
    </w:p>
    <w:p w14:paraId="24135623" w14:textId="32C6B4DF" w:rsidR="006F348D" w:rsidRPr="00670221" w:rsidRDefault="00BB3AD9" w:rsidP="0008074F">
      <w:pPr>
        <w:rPr>
          <w:b/>
          <w:bCs/>
          <w:i/>
          <w:iCs/>
          <w:lang w:val="en-US"/>
        </w:rPr>
      </w:pPr>
      <w:r w:rsidRPr="00670221">
        <w:rPr>
          <w:b/>
          <w:bCs/>
          <w:i/>
          <w:iCs/>
          <w:lang w:val="en-US"/>
        </w:rPr>
        <w:t xml:space="preserve">SQ 3: </w:t>
      </w:r>
      <w:r w:rsidR="0008074F" w:rsidRPr="00670221">
        <w:rPr>
          <w:b/>
          <w:bCs/>
          <w:i/>
          <w:iCs/>
          <w:lang w:val="en-US"/>
        </w:rPr>
        <w:t>What are the key cost drivers within the identified SAF technolog</w:t>
      </w:r>
      <w:r w:rsidR="004A2673" w:rsidRPr="00670221">
        <w:rPr>
          <w:b/>
          <w:bCs/>
          <w:i/>
          <w:iCs/>
          <w:lang w:val="en-US"/>
        </w:rPr>
        <w:t>ies</w:t>
      </w:r>
      <w:r w:rsidR="0008074F" w:rsidRPr="00670221">
        <w:rPr>
          <w:b/>
          <w:bCs/>
          <w:i/>
          <w:iCs/>
          <w:lang w:val="en-US"/>
        </w:rPr>
        <w:t>, and how do these components evolve over time</w:t>
      </w:r>
      <w:r w:rsidR="006F348D" w:rsidRPr="00670221">
        <w:rPr>
          <w:b/>
          <w:bCs/>
          <w:i/>
          <w:iCs/>
          <w:lang w:val="en-US"/>
        </w:rPr>
        <w:t>?</w:t>
      </w:r>
    </w:p>
    <w:p w14:paraId="5D6A7BAF" w14:textId="77777777" w:rsidR="006268B7" w:rsidRPr="00670221" w:rsidRDefault="00707873" w:rsidP="005F4160">
      <w:pPr>
        <w:rPr>
          <w:lang w:val="en-US"/>
        </w:rPr>
      </w:pPr>
      <w:r w:rsidRPr="00670221">
        <w:rPr>
          <w:lang w:val="en-US"/>
        </w:rPr>
        <w:t xml:space="preserve">To address the third sub-question on key cost drivers within </w:t>
      </w:r>
      <w:proofErr w:type="spellStart"/>
      <w:r w:rsidRPr="00670221">
        <w:rPr>
          <w:lang w:val="en-US"/>
        </w:rPr>
        <w:t>eSAF</w:t>
      </w:r>
      <w:proofErr w:type="spellEnd"/>
      <w:r w:rsidRPr="00670221">
        <w:rPr>
          <w:lang w:val="en-US"/>
        </w:rPr>
        <w:t xml:space="preserve"> pathways and their evolution over time, the analysis presented a detailed levelized cost assessment for 2024, 2035, and 2050, incorporating CAPEX and OPEX of various </w:t>
      </w:r>
      <w:proofErr w:type="spellStart"/>
      <w:r w:rsidRPr="00670221">
        <w:rPr>
          <w:lang w:val="en-US"/>
        </w:rPr>
        <w:t>electrolyzer</w:t>
      </w:r>
      <w:proofErr w:type="spellEnd"/>
      <w:r w:rsidRPr="00670221">
        <w:rPr>
          <w:lang w:val="en-US"/>
        </w:rPr>
        <w:t xml:space="preserve"> types, CO₂ sources (DAC or biogenic), and fuel conversion technologies. A normalized cost breakdown highlighted the distribution and evolution of cost components per pathway.</w:t>
      </w:r>
    </w:p>
    <w:p w14:paraId="41C8B5B6" w14:textId="1ACCC56E" w:rsidR="00420768" w:rsidRPr="00670221" w:rsidRDefault="009C75D6" w:rsidP="005F4160">
      <w:pPr>
        <w:rPr>
          <w:lang w:val="en-US"/>
        </w:rPr>
      </w:pPr>
      <w:r w:rsidRPr="00670221">
        <w:rPr>
          <w:lang w:val="en-US"/>
        </w:rPr>
        <w:lastRenderedPageBreak/>
        <w:t xml:space="preserve">For 2024, costs across all pathways were dominated by </w:t>
      </w:r>
      <w:proofErr w:type="spellStart"/>
      <w:r w:rsidRPr="00670221">
        <w:rPr>
          <w:lang w:val="en-US"/>
        </w:rPr>
        <w:t>electrolyzer</w:t>
      </w:r>
      <w:proofErr w:type="spellEnd"/>
      <w:r w:rsidRPr="00670221">
        <w:rPr>
          <w:lang w:val="en-US"/>
        </w:rPr>
        <w:t xml:space="preserve"> contributions, with OPEX as the largest component. This OPEX share grew over time, particularly for </w:t>
      </w:r>
      <w:r w:rsidR="00391754">
        <w:rPr>
          <w:lang w:val="en-US"/>
        </w:rPr>
        <w:t>solid oxide electrolysis (</w:t>
      </w:r>
      <w:r w:rsidRPr="00670221">
        <w:rPr>
          <w:lang w:val="en-US"/>
        </w:rPr>
        <w:t>SOE</w:t>
      </w:r>
      <w:r w:rsidR="00391754">
        <w:rPr>
          <w:lang w:val="en-US"/>
        </w:rPr>
        <w:t>)</w:t>
      </w:r>
      <w:r w:rsidRPr="00670221">
        <w:rPr>
          <w:lang w:val="en-US"/>
        </w:rPr>
        <w:t xml:space="preserve"> technologies, as their efficiency remained constant, unlike </w:t>
      </w:r>
      <w:r w:rsidR="00391754">
        <w:rPr>
          <w:lang w:val="en-US"/>
        </w:rPr>
        <w:t>proton exchange membrane electrolysis</w:t>
      </w:r>
      <w:r w:rsidR="00391754">
        <w:rPr>
          <w:lang w:val="en-US"/>
        </w:rPr>
        <w:t xml:space="preserve"> (PEM)</w:t>
      </w:r>
      <w:r w:rsidRPr="00670221">
        <w:rPr>
          <w:lang w:val="en-US"/>
        </w:rPr>
        <w:t xml:space="preserve">, which improved. In 2024, </w:t>
      </w:r>
      <w:r w:rsidR="00391754">
        <w:rPr>
          <w:lang w:val="en-US"/>
        </w:rPr>
        <w:t xml:space="preserve">solid oxide electrolysis </w:t>
      </w:r>
      <w:r w:rsidRPr="00670221">
        <w:rPr>
          <w:lang w:val="en-US"/>
        </w:rPr>
        <w:t xml:space="preserve">OPEX costs were lower than </w:t>
      </w:r>
      <w:r w:rsidR="00391754">
        <w:rPr>
          <w:lang w:val="en-US"/>
        </w:rPr>
        <w:t>proton exchange membrane electrolysis</w:t>
      </w:r>
      <w:r w:rsidR="00391754" w:rsidRPr="00670221">
        <w:rPr>
          <w:lang w:val="en-US"/>
        </w:rPr>
        <w:t xml:space="preserve"> </w:t>
      </w:r>
      <w:r w:rsidRPr="00670221">
        <w:rPr>
          <w:lang w:val="en-US"/>
        </w:rPr>
        <w:t>but were outweighed by</w:t>
      </w:r>
      <w:r w:rsidR="00391754">
        <w:rPr>
          <w:lang w:val="en-US"/>
        </w:rPr>
        <w:t xml:space="preserve"> it</w:t>
      </w:r>
      <w:r w:rsidR="00391754" w:rsidRPr="00670221">
        <w:rPr>
          <w:lang w:val="en-US"/>
        </w:rPr>
        <w:t>s</w:t>
      </w:r>
      <w:r w:rsidRPr="00670221">
        <w:rPr>
          <w:lang w:val="en-US"/>
        </w:rPr>
        <w:t xml:space="preserve"> significantly higher CAPEX costs. Since biogenic CO₂ prices remained constant while DAC costs declined, biogenic pathways experienced a greater decrease in the share of other components. For DAC pathways, rising </w:t>
      </w:r>
      <w:proofErr w:type="spellStart"/>
      <w:r w:rsidRPr="00670221">
        <w:rPr>
          <w:lang w:val="en-US"/>
        </w:rPr>
        <w:t>electrolyzer</w:t>
      </w:r>
      <w:proofErr w:type="spellEnd"/>
      <w:r w:rsidRPr="00670221">
        <w:rPr>
          <w:lang w:val="en-US"/>
        </w:rPr>
        <w:t xml:space="preserve"> OPEX shares offset declining CAPEX shares, resulting in a growing combined share of </w:t>
      </w:r>
      <w:proofErr w:type="spellStart"/>
      <w:r w:rsidRPr="00670221">
        <w:rPr>
          <w:lang w:val="en-US"/>
        </w:rPr>
        <w:t>electrolyzer</w:t>
      </w:r>
      <w:proofErr w:type="spellEnd"/>
      <w:r w:rsidRPr="00670221">
        <w:rPr>
          <w:lang w:val="en-US"/>
        </w:rPr>
        <w:t xml:space="preserve"> costs, whereas biogenic CO₂ pathways saw a slight reduction in the total share of </w:t>
      </w:r>
      <w:proofErr w:type="spellStart"/>
      <w:r w:rsidRPr="00670221">
        <w:rPr>
          <w:lang w:val="en-US"/>
        </w:rPr>
        <w:t>electrolyzer</w:t>
      </w:r>
      <w:proofErr w:type="spellEnd"/>
      <w:r w:rsidRPr="00670221">
        <w:rPr>
          <w:lang w:val="en-US"/>
        </w:rPr>
        <w:t xml:space="preserve"> costs through 2050.</w:t>
      </w:r>
      <w:r w:rsidR="00A457AB" w:rsidRPr="00670221">
        <w:rPr>
          <w:lang w:val="en-US"/>
        </w:rPr>
        <w:t xml:space="preserve"> Fuel synthesis costs contributed minimally to the total cost, highlighting the OPEX-heavy nature of both electrolysis and CO₂ capture as the primary determinants of </w:t>
      </w:r>
      <w:r w:rsidR="00391754">
        <w:rPr>
          <w:lang w:val="en-US"/>
        </w:rPr>
        <w:t>synthetic sustainable aviation fuel</w:t>
      </w:r>
      <w:r w:rsidR="00391754" w:rsidRPr="00670221">
        <w:rPr>
          <w:lang w:val="en-US"/>
        </w:rPr>
        <w:t xml:space="preserve"> </w:t>
      </w:r>
      <w:r w:rsidR="00391754">
        <w:rPr>
          <w:lang w:val="en-US"/>
        </w:rPr>
        <w:t>(</w:t>
      </w:r>
      <w:proofErr w:type="spellStart"/>
      <w:r w:rsidR="00A457AB" w:rsidRPr="00670221">
        <w:rPr>
          <w:lang w:val="en-US"/>
        </w:rPr>
        <w:t>eSAF</w:t>
      </w:r>
      <w:proofErr w:type="spellEnd"/>
      <w:r w:rsidR="00391754">
        <w:rPr>
          <w:lang w:val="en-US"/>
        </w:rPr>
        <w:t>)</w:t>
      </w:r>
      <w:r w:rsidR="00A457AB" w:rsidRPr="00670221">
        <w:rPr>
          <w:lang w:val="en-US"/>
        </w:rPr>
        <w:t xml:space="preserve"> levelized costs.</w:t>
      </w:r>
    </w:p>
    <w:p w14:paraId="024CFEA3" w14:textId="15B582B8" w:rsidR="00F32FBF" w:rsidRPr="00670221" w:rsidRDefault="006D6C45" w:rsidP="005F4160">
      <w:pPr>
        <w:rPr>
          <w:lang w:val="en-US"/>
        </w:rPr>
      </w:pPr>
      <w:r w:rsidRPr="00670221">
        <w:rPr>
          <w:lang w:val="en-US"/>
        </w:rPr>
        <w:t xml:space="preserve">A sensitivity analysis assessed the impact of economic model parameters on the levelized cost of CO₂ and the techno-economic performance of </w:t>
      </w:r>
      <w:proofErr w:type="spellStart"/>
      <w:r w:rsidRPr="00670221">
        <w:rPr>
          <w:lang w:val="en-US"/>
        </w:rPr>
        <w:t>eSAF</w:t>
      </w:r>
      <w:proofErr w:type="spellEnd"/>
      <w:r w:rsidRPr="00670221">
        <w:rPr>
          <w:lang w:val="en-US"/>
        </w:rPr>
        <w:t xml:space="preserve">. In all scenarios, DAC CO₂ costs became competitive with fossil-based CO₂ sources before the 2036 phase-out of certain fossil alternatives, prompting reconsideration of these transitional timelines. The lowest CO₂ price of €50.20 was achieved by high-concentration biogenic CO₂ under a low electricity price scenario (€40/MWh), where DAC nearly reached cost parity by 2050. </w:t>
      </w:r>
      <w:r w:rsidR="00A12063" w:rsidRPr="00670221">
        <w:rPr>
          <w:lang w:val="en-US"/>
        </w:rPr>
        <w:t>However, biogenic CO₂ availability remains location-dependent due to limited capture incentives and high potential transport costs in regions lacking CO₂ infrastructure.</w:t>
      </w:r>
      <w:r w:rsidR="000213FD" w:rsidRPr="00670221">
        <w:rPr>
          <w:lang w:val="en-US"/>
        </w:rPr>
        <w:t xml:space="preserve"> A</w:t>
      </w:r>
      <w:r w:rsidRPr="00670221">
        <w:rPr>
          <w:lang w:val="en-US"/>
        </w:rPr>
        <w:t xml:space="preserve"> reduction in operational hours from 8,000 to 4,000 annually had the most significant negative effect, delaying cost competitiveness with alternatives and raising 2050 DAC costs by over €20/ton compared to the base case. Given the</w:t>
      </w:r>
      <w:r w:rsidR="005171D2">
        <w:rPr>
          <w:lang w:val="en-US"/>
        </w:rPr>
        <w:t xml:space="preserve"> </w:t>
      </w:r>
      <w:r w:rsidRPr="00670221">
        <w:rPr>
          <w:lang w:val="en-US"/>
        </w:rPr>
        <w:t>capacity factors of renewable energy sources, even 4,000 operational hours annually may be an optimistic assumption under hybrid energy systems.</w:t>
      </w:r>
    </w:p>
    <w:p w14:paraId="7FB4B712" w14:textId="7D7A75C2" w:rsidR="00777433" w:rsidRPr="00670221" w:rsidRDefault="00777433" w:rsidP="005F4160">
      <w:pPr>
        <w:rPr>
          <w:lang w:val="en-US"/>
        </w:rPr>
      </w:pPr>
      <w:r w:rsidRPr="00670221">
        <w:rPr>
          <w:lang w:val="en-US"/>
        </w:rPr>
        <w:t>Within the limits of the sensitivity analysis, an electricity price of €40/MWh resulted in the lowest LCOF at €1.76/liter</w:t>
      </w:r>
      <w:r w:rsidR="0068424A" w:rsidRPr="00670221">
        <w:rPr>
          <w:lang w:val="en-US"/>
        </w:rPr>
        <w:t xml:space="preserve"> for </w:t>
      </w:r>
      <w:r w:rsidR="00B715FD" w:rsidRPr="00670221">
        <w:rPr>
          <w:lang w:val="en-US"/>
        </w:rPr>
        <w:t>2024</w:t>
      </w:r>
      <w:r w:rsidRPr="00670221">
        <w:rPr>
          <w:lang w:val="en-US"/>
        </w:rPr>
        <w:t xml:space="preserve">. Conversely, a reduction in operational hours to 4000 caused the largest price increase under current conditions, as the high CAPEX of </w:t>
      </w:r>
      <w:r w:rsidR="00666801" w:rsidRPr="00670221">
        <w:rPr>
          <w:lang w:val="en-US"/>
        </w:rPr>
        <w:t>current systems</w:t>
      </w:r>
      <w:r w:rsidRPr="00670221">
        <w:rPr>
          <w:lang w:val="en-US"/>
        </w:rPr>
        <w:t xml:space="preserve"> meant that costs were distributed over fewer hours, significantly raising the </w:t>
      </w:r>
      <w:r w:rsidR="00BA552F">
        <w:rPr>
          <w:lang w:val="en-US"/>
        </w:rPr>
        <w:t>levelized cost of fuel</w:t>
      </w:r>
      <w:r w:rsidRPr="00670221">
        <w:rPr>
          <w:lang w:val="en-US"/>
        </w:rPr>
        <w:t>.</w:t>
      </w:r>
    </w:p>
    <w:p w14:paraId="675D64C1" w14:textId="77A2D394" w:rsidR="005F4160" w:rsidRPr="00670221" w:rsidRDefault="00707873" w:rsidP="005F4160">
      <w:pPr>
        <w:rPr>
          <w:lang w:val="en-US"/>
        </w:rPr>
      </w:pPr>
      <w:r w:rsidRPr="00670221">
        <w:rPr>
          <w:lang w:val="en-US"/>
        </w:rPr>
        <w:t xml:space="preserve">To further explore key cost drivers, </w:t>
      </w:r>
      <w:r w:rsidR="00570922" w:rsidRPr="00570922">
        <w:t>Institute for Sustainable Process Technology</w:t>
      </w:r>
      <w:r w:rsidR="00570922" w:rsidRPr="00570922">
        <w:rPr>
          <w:lang w:val="en-US"/>
        </w:rPr>
        <w:t xml:space="preserve"> </w:t>
      </w:r>
      <w:r w:rsidR="009E6817">
        <w:rPr>
          <w:lang w:val="en-US"/>
        </w:rPr>
        <w:t>(</w:t>
      </w:r>
      <w:r w:rsidR="00777433" w:rsidRPr="00670221">
        <w:rPr>
          <w:lang w:val="en-US"/>
        </w:rPr>
        <w:t>ISPT</w:t>
      </w:r>
      <w:r w:rsidR="009E6817">
        <w:rPr>
          <w:lang w:val="en-US"/>
        </w:rPr>
        <w:t>)</w:t>
      </w:r>
      <w:r w:rsidRPr="00670221">
        <w:rPr>
          <w:lang w:val="en-US"/>
        </w:rPr>
        <w:t xml:space="preserve"> </w:t>
      </w:r>
      <w:r w:rsidR="009E6817">
        <w:rPr>
          <w:lang w:val="en-US"/>
        </w:rPr>
        <w:t>solid oxide co-electrolysis (</w:t>
      </w:r>
      <w:r w:rsidRPr="00670221">
        <w:rPr>
          <w:lang w:val="en-US"/>
        </w:rPr>
        <w:t>SOE</w:t>
      </w:r>
      <w:r w:rsidR="009E6817">
        <w:rPr>
          <w:lang w:val="en-US"/>
        </w:rPr>
        <w:t>)</w:t>
      </w:r>
      <w:r w:rsidRPr="00670221">
        <w:rPr>
          <w:lang w:val="en-US"/>
        </w:rPr>
        <w:t xml:space="preserve"> performance data were analyzed, focusing on electrical and carbon efficiency, as well as extended technology lifetimes. This analysis addressed the significant impact of </w:t>
      </w:r>
      <w:proofErr w:type="spellStart"/>
      <w:r w:rsidRPr="00670221">
        <w:rPr>
          <w:lang w:val="en-US"/>
        </w:rPr>
        <w:t>electrolyzer</w:t>
      </w:r>
      <w:proofErr w:type="spellEnd"/>
      <w:r w:rsidRPr="00670221">
        <w:rPr>
          <w:lang w:val="en-US"/>
        </w:rPr>
        <w:t xml:space="preserve"> OPEX, the largest cost component, and CAPEX through technology lifespan, offering insights into how improvements in </w:t>
      </w:r>
      <w:r w:rsidR="009E6817">
        <w:rPr>
          <w:lang w:val="en-US"/>
        </w:rPr>
        <w:t>solid oxide electrolysis</w:t>
      </w:r>
      <w:r w:rsidRPr="00670221">
        <w:rPr>
          <w:lang w:val="en-US"/>
        </w:rPr>
        <w:t xml:space="preserve"> performance could enhance the economic feasibility of </w:t>
      </w:r>
      <w:r w:rsidR="009E6817">
        <w:rPr>
          <w:lang w:val="en-US"/>
        </w:rPr>
        <w:t>sustainable fuel</w:t>
      </w:r>
      <w:r w:rsidRPr="00670221">
        <w:rPr>
          <w:lang w:val="en-US"/>
        </w:rPr>
        <w:t xml:space="preserve"> production.</w:t>
      </w:r>
      <w:r w:rsidR="004222E7" w:rsidRPr="00670221">
        <w:rPr>
          <w:lang w:val="en-US"/>
        </w:rPr>
        <w:t xml:space="preserve"> </w:t>
      </w:r>
      <w:r w:rsidR="003D220A" w:rsidRPr="00670221">
        <w:rPr>
          <w:lang w:val="en-US"/>
        </w:rPr>
        <w:t xml:space="preserve">While prices converge to similar </w:t>
      </w:r>
      <w:r w:rsidR="009644F7" w:rsidRPr="00670221">
        <w:rPr>
          <w:lang w:val="en-US"/>
        </w:rPr>
        <w:t xml:space="preserve">price </w:t>
      </w:r>
      <w:r w:rsidR="003D220A" w:rsidRPr="00670221">
        <w:rPr>
          <w:lang w:val="en-US"/>
        </w:rPr>
        <w:t xml:space="preserve">levels in 2050, does </w:t>
      </w:r>
      <w:r w:rsidR="009E6817">
        <w:rPr>
          <w:lang w:val="en-US"/>
        </w:rPr>
        <w:t>solid oxide co-electrolysis (SOE)</w:t>
      </w:r>
      <w:r w:rsidR="003D220A" w:rsidRPr="00670221">
        <w:rPr>
          <w:lang w:val="en-US"/>
        </w:rPr>
        <w:t xml:space="preserve"> becomes the preferred electrolysis option under these conditions based on techno-economic analysis from 2027 onward, highlighting the need for continuous development of this technology.</w:t>
      </w:r>
    </w:p>
    <w:p w14:paraId="0B07CDF5" w14:textId="4F79E8E1" w:rsidR="00DF7EEF" w:rsidRPr="00670221" w:rsidRDefault="00DF7EEF" w:rsidP="005F4160">
      <w:pPr>
        <w:rPr>
          <w:lang w:val="en-US"/>
        </w:rPr>
      </w:pPr>
      <w:r w:rsidRPr="00670221">
        <w:rPr>
          <w:lang w:val="en-US"/>
        </w:rPr>
        <w:t xml:space="preserve">To further explore key cost drivers, </w:t>
      </w:r>
      <w:r w:rsidR="009E6817" w:rsidRPr="00570922">
        <w:t>Institute for Sustainable Process Technology</w:t>
      </w:r>
      <w:r w:rsidR="009E6817" w:rsidRPr="00570922">
        <w:rPr>
          <w:lang w:val="en-US"/>
        </w:rPr>
        <w:t xml:space="preserve"> </w:t>
      </w:r>
      <w:r w:rsidR="009E6817">
        <w:rPr>
          <w:lang w:val="en-US"/>
        </w:rPr>
        <w:t>(</w:t>
      </w:r>
      <w:r w:rsidR="009E6817" w:rsidRPr="00670221">
        <w:rPr>
          <w:lang w:val="en-US"/>
        </w:rPr>
        <w:t>ISPT</w:t>
      </w:r>
      <w:r w:rsidR="009E6817">
        <w:rPr>
          <w:lang w:val="en-US"/>
        </w:rPr>
        <w:t>)</w:t>
      </w:r>
      <w:r w:rsidR="009E6817" w:rsidRPr="00670221">
        <w:rPr>
          <w:lang w:val="en-US"/>
        </w:rPr>
        <w:t xml:space="preserve"> </w:t>
      </w:r>
      <w:r w:rsidR="009E6817">
        <w:rPr>
          <w:lang w:val="en-US"/>
        </w:rPr>
        <w:t>solid oxide co-electrolysis (</w:t>
      </w:r>
      <w:r w:rsidR="009E6817" w:rsidRPr="00670221">
        <w:rPr>
          <w:lang w:val="en-US"/>
        </w:rPr>
        <w:t>SOE</w:t>
      </w:r>
      <w:r w:rsidR="009E6817">
        <w:rPr>
          <w:lang w:val="en-US"/>
        </w:rPr>
        <w:t>)</w:t>
      </w:r>
      <w:r w:rsidR="009E6817">
        <w:rPr>
          <w:lang w:val="en-US"/>
        </w:rPr>
        <w:t xml:space="preserve"> </w:t>
      </w:r>
      <w:r w:rsidRPr="00670221">
        <w:rPr>
          <w:lang w:val="en-US"/>
        </w:rPr>
        <w:t xml:space="preserve">performance data were analyzed with a focus on electrical and carbon efficiency, as well as extended technology lifetimes, given that </w:t>
      </w:r>
      <w:proofErr w:type="spellStart"/>
      <w:r w:rsidRPr="00670221">
        <w:rPr>
          <w:lang w:val="en-US"/>
        </w:rPr>
        <w:t>electrolyzer</w:t>
      </w:r>
      <w:proofErr w:type="spellEnd"/>
      <w:r w:rsidRPr="00670221">
        <w:rPr>
          <w:lang w:val="en-US"/>
        </w:rPr>
        <w:t xml:space="preserve"> costs constitutes the largest cost component. This analysis provided insights into how performance improvements in </w:t>
      </w:r>
      <w:r w:rsidR="009E6817">
        <w:rPr>
          <w:lang w:val="en-US"/>
        </w:rPr>
        <w:t>solid oxide co-electrolysis</w:t>
      </w:r>
      <w:r w:rsidR="009E6817" w:rsidRPr="00670221">
        <w:rPr>
          <w:lang w:val="en-US"/>
        </w:rPr>
        <w:t xml:space="preserve"> </w:t>
      </w:r>
      <w:r w:rsidRPr="00670221">
        <w:rPr>
          <w:lang w:val="en-US"/>
        </w:rPr>
        <w:t xml:space="preserve">could enhance the economic feasibility of </w:t>
      </w:r>
      <w:r w:rsidR="009E6817">
        <w:rPr>
          <w:lang w:val="en-US"/>
        </w:rPr>
        <w:t xml:space="preserve">sustainable aviation fuel </w:t>
      </w:r>
      <w:r w:rsidRPr="00670221">
        <w:rPr>
          <w:lang w:val="en-US"/>
        </w:rPr>
        <w:t xml:space="preserve">production. Although prices for all pathways converge by 2050, </w:t>
      </w:r>
      <w:r w:rsidR="009E6817">
        <w:rPr>
          <w:lang w:val="en-US"/>
        </w:rPr>
        <w:t>solid oxide co-electrolysis</w:t>
      </w:r>
      <w:r w:rsidR="009E6817" w:rsidRPr="00670221">
        <w:rPr>
          <w:lang w:val="en-US"/>
        </w:rPr>
        <w:t xml:space="preserve"> </w:t>
      </w:r>
      <w:r w:rsidRPr="00670221">
        <w:rPr>
          <w:lang w:val="en-US"/>
        </w:rPr>
        <w:t xml:space="preserve">emerged as the preferred electrolysis option under these conditions </w:t>
      </w:r>
      <w:r w:rsidRPr="00670221">
        <w:rPr>
          <w:lang w:val="en-US"/>
        </w:rPr>
        <w:lastRenderedPageBreak/>
        <w:t>based on techno-economic analysis from 2027 onward, emphasizing the critical need for continued development of this technology.</w:t>
      </w:r>
    </w:p>
    <w:p w14:paraId="6806C9A2" w14:textId="77777777" w:rsidR="00F5177A" w:rsidRPr="00670221" w:rsidRDefault="00F5177A" w:rsidP="005F4160">
      <w:pPr>
        <w:rPr>
          <w:lang w:val="en-US"/>
        </w:rPr>
      </w:pPr>
    </w:p>
    <w:p w14:paraId="47884E18" w14:textId="0AD8752D" w:rsidR="00CB5CE8" w:rsidRPr="00670221" w:rsidRDefault="00697574" w:rsidP="005F4160">
      <w:pPr>
        <w:pStyle w:val="Heading2"/>
      </w:pPr>
      <w:bookmarkStart w:id="131" w:name="_Toc184403473"/>
      <w:r>
        <w:t>Answering</w:t>
      </w:r>
      <w:r w:rsidR="005D77A3">
        <w:t xml:space="preserve"> the </w:t>
      </w:r>
      <w:r w:rsidR="00CB5CE8" w:rsidRPr="00670221">
        <w:t>Main Research Question</w:t>
      </w:r>
      <w:bookmarkEnd w:id="131"/>
    </w:p>
    <w:p w14:paraId="7EEFEA0E" w14:textId="77777777" w:rsidR="00697574" w:rsidRDefault="00697574" w:rsidP="00A91AF2">
      <w:pPr>
        <w:rPr>
          <w:b/>
          <w:bCs/>
          <w:i/>
          <w:iCs/>
          <w:lang w:val="en-US"/>
        </w:rPr>
      </w:pPr>
      <w:r w:rsidRPr="00697574">
        <w:rPr>
          <w:b/>
          <w:bCs/>
          <w:i/>
          <w:iCs/>
          <w:lang w:val="en-US"/>
        </w:rPr>
        <w:t>How can sustainable aviation fuel (SAF) be developed within the EU, specifically considering technologies that incorporate direct air capture (DAC)?</w:t>
      </w:r>
    </w:p>
    <w:p w14:paraId="683F80D6" w14:textId="0ADDED93" w:rsidR="00ED0D6C" w:rsidRDefault="00ED0D6C" w:rsidP="00A91AF2">
      <w:pPr>
        <w:rPr>
          <w:lang w:val="en-US"/>
        </w:rPr>
      </w:pPr>
      <w:r w:rsidRPr="00ED0D6C">
        <w:rPr>
          <w:lang w:val="en-US"/>
        </w:rPr>
        <w:t>The EU has recognized the need to reduce emissions in the aviation sector, implementing mandates to support its decarbonization. However, the high costs of emerging technologies, combined with limited airline investment, have created a chicken-and-egg problem that hinders the scaling of installed capacity. Addressing these challenges requires solutions that are sustainable, cost-effective, aligned with regulatory targets, and scalable to meet future demand. Identified technological pathways were assessed based on their ability to meet these criteria, address renewable electricity challenges, and integrate with direct air capture systems.</w:t>
      </w:r>
    </w:p>
    <w:p w14:paraId="563B24F8" w14:textId="69C6B36B" w:rsidR="00650C80" w:rsidRPr="00670221" w:rsidRDefault="00AF29D4" w:rsidP="00650C80">
      <w:pPr>
        <w:rPr>
          <w:lang w:val="en-US"/>
        </w:rPr>
      </w:pPr>
      <w:r w:rsidRPr="00AF29D4">
        <w:rPr>
          <w:lang w:val="en-US"/>
        </w:rPr>
        <w:t>Without reiterating what has already been addressed by answering the sub-questions, this research primarily contributed by offering practical criteria to support the industry in establishing successful sustainable aviation fuel (SAF) projects and identifying regulatory issues requiring attention from policymakers, backed by sensitivity analysis findings. While the levelized cost analysis aligned with existing literature, it also provided accurate DAC data for other researchers, highlighting the critical role of carbon efficiencies in fuel production and their impact on the costs of advanced pathways like co-electrolysis. Comparative analysis offered new insights into how this technology could become a leading option if key barriers, such as efficiency improvements and cost reductions, are addressed.</w:t>
      </w:r>
      <w:r w:rsidR="00650C80">
        <w:rPr>
          <w:lang w:val="en-US"/>
        </w:rPr>
        <w:t xml:space="preserve"> </w:t>
      </w:r>
      <w:r w:rsidR="005920F5" w:rsidRPr="005920F5">
        <w:rPr>
          <w:lang w:val="en-US"/>
        </w:rPr>
        <w:t>From a systemic perspective, long-term strategies to reduce costs should prioritize expanding grid capacity and implementing storage solutions to address renewable energy intermittency effectively.</w:t>
      </w:r>
    </w:p>
    <w:p w14:paraId="41D894B3" w14:textId="4C3A4AE5" w:rsidR="00502C92" w:rsidRPr="00670221" w:rsidRDefault="006A725C" w:rsidP="00410E32">
      <w:pPr>
        <w:rPr>
          <w:lang w:val="en-US"/>
        </w:rPr>
      </w:pPr>
      <w:r w:rsidRPr="00670221">
        <w:rPr>
          <w:lang w:val="en-US"/>
        </w:rPr>
        <w:br w:type="page"/>
      </w:r>
    </w:p>
    <w:p w14:paraId="0B19817A" w14:textId="77777777" w:rsidR="00A85394" w:rsidRPr="00670221" w:rsidRDefault="00A16717" w:rsidP="00A16717">
      <w:pPr>
        <w:pStyle w:val="Heading1"/>
      </w:pPr>
      <w:bookmarkStart w:id="132" w:name="_Toc156562676"/>
      <w:bookmarkStart w:id="133" w:name="_Toc184403474"/>
      <w:r w:rsidRPr="00670221">
        <w:lastRenderedPageBreak/>
        <w:t>Bibliography</w:t>
      </w:r>
      <w:bookmarkEnd w:id="133"/>
    </w:p>
    <w:sdt>
      <w:sdtPr>
        <w:rPr>
          <w:lang w:val="en-US"/>
        </w:rPr>
        <w:id w:val="330413026"/>
        <w:docPartObj>
          <w:docPartGallery w:val="Bibliographies"/>
          <w:docPartUnique/>
        </w:docPartObj>
      </w:sdtPr>
      <w:sdtEndPr/>
      <w:sdtContent>
        <w:sdt>
          <w:sdtPr>
            <w:rPr>
              <w:lang w:val="en-US"/>
            </w:rPr>
            <w:id w:val="111145805"/>
            <w:bibliography/>
          </w:sdtPr>
          <w:sdtEndPr/>
          <w:sdtContent>
            <w:p w14:paraId="19C50BC6" w14:textId="77777777" w:rsidR="00A85394" w:rsidRPr="00670221" w:rsidRDefault="00A85394" w:rsidP="00A85394">
              <w:pPr>
                <w:rPr>
                  <w:b/>
                  <w:bCs/>
                  <w:lang w:val="en-US"/>
                </w:rPr>
              </w:pPr>
              <w:proofErr w:type="spellStart"/>
              <w:r w:rsidRPr="00670221">
                <w:rPr>
                  <w:lang w:val="en-US"/>
                </w:rPr>
                <w:t>Abdulkareem-Alsultan</w:t>
              </w:r>
              <w:proofErr w:type="spellEnd"/>
              <w:r w:rsidRPr="00670221">
                <w:rPr>
                  <w:lang w:val="en-US"/>
                </w:rPr>
                <w:t xml:space="preserve">, G., </w:t>
              </w:r>
              <w:proofErr w:type="spellStart"/>
              <w:r w:rsidRPr="00670221">
                <w:rPr>
                  <w:lang w:val="en-US"/>
                </w:rPr>
                <w:t>Asikin-Mijan</w:t>
              </w:r>
              <w:proofErr w:type="spellEnd"/>
              <w:r w:rsidRPr="00670221">
                <w:rPr>
                  <w:lang w:val="en-US"/>
                </w:rPr>
                <w:t xml:space="preserve">, N., &amp; Taufiq‐Yap, Y. H. (2020). Future aviation biofuel, efficiency and climate change. In </w:t>
              </w:r>
              <w:r w:rsidRPr="00670221">
                <w:rPr>
                  <w:i/>
                  <w:iCs/>
                  <w:lang w:val="en-US"/>
                </w:rPr>
                <w:t>Green energy and technology</w:t>
              </w:r>
              <w:r w:rsidRPr="00670221">
                <w:rPr>
                  <w:lang w:val="en-US"/>
                </w:rPr>
                <w:t xml:space="preserve"> (pp. 505–522). </w:t>
              </w:r>
              <w:hyperlink r:id="rId54" w:history="1">
                <w:r w:rsidRPr="00670221">
                  <w:rPr>
                    <w:rStyle w:val="Hyperlink"/>
                    <w:lang w:val="en-US"/>
                  </w:rPr>
                  <w:t>https://doi.org/10.1007/978-981-15-5667-8_20</w:t>
                </w:r>
              </w:hyperlink>
            </w:p>
            <w:p w14:paraId="376159C3" w14:textId="23A72C2C" w:rsidR="00A85394" w:rsidRPr="00670221" w:rsidRDefault="00A85394" w:rsidP="00A85394">
              <w:pPr>
                <w:rPr>
                  <w:rStyle w:val="Hyperlink"/>
                  <w:lang w:val="en-US"/>
                </w:rPr>
              </w:pPr>
              <w:r w:rsidRPr="00670221">
                <w:rPr>
                  <w:lang w:val="en-US"/>
                </w:rPr>
                <w:t xml:space="preserve">Anderson, T. R., Hawkins, E., &amp; Jones, P. (2016). CO2, the greenhouse effect and global warming: from the pioneering work of Arrhenius and </w:t>
              </w:r>
              <w:proofErr w:type="spellStart"/>
              <w:r w:rsidRPr="00670221">
                <w:rPr>
                  <w:lang w:val="en-US"/>
                </w:rPr>
                <w:t>Callendar</w:t>
              </w:r>
              <w:proofErr w:type="spellEnd"/>
              <w:r w:rsidRPr="00670221">
                <w:rPr>
                  <w:lang w:val="en-US"/>
                </w:rPr>
                <w:t xml:space="preserve"> to today’s Earth System Models. </w:t>
              </w:r>
              <w:r w:rsidRPr="00670221">
                <w:rPr>
                  <w:i/>
                  <w:iCs/>
                  <w:lang w:val="en-US"/>
                </w:rPr>
                <w:t>Endeavour</w:t>
              </w:r>
              <w:r w:rsidRPr="00670221">
                <w:rPr>
                  <w:lang w:val="en-US"/>
                </w:rPr>
                <w:t xml:space="preserve">, </w:t>
              </w:r>
              <w:r w:rsidRPr="00670221">
                <w:rPr>
                  <w:i/>
                  <w:iCs/>
                  <w:lang w:val="en-US"/>
                </w:rPr>
                <w:t>40</w:t>
              </w:r>
              <w:r w:rsidRPr="00670221">
                <w:rPr>
                  <w:lang w:val="en-US"/>
                </w:rPr>
                <w:t xml:space="preserve">(3), 178–187. </w:t>
              </w:r>
              <w:hyperlink r:id="rId55" w:history="1">
                <w:r w:rsidRPr="00670221">
                  <w:rPr>
                    <w:rStyle w:val="Hyperlink"/>
                    <w:lang w:val="en-US"/>
                  </w:rPr>
                  <w:t>https://doi.org/10.1016/j.endeavour.2016.07.002</w:t>
                </w:r>
              </w:hyperlink>
            </w:p>
            <w:p w14:paraId="2D8601DF" w14:textId="57040894" w:rsidR="009703D0" w:rsidRPr="00670221" w:rsidRDefault="009703D0" w:rsidP="00A85394">
              <w:pPr>
                <w:rPr>
                  <w:lang w:val="en-US"/>
                </w:rPr>
              </w:pPr>
              <w:r w:rsidRPr="00670221">
                <w:rPr>
                  <w:lang w:val="en-US"/>
                </w:rPr>
                <w:t xml:space="preserve">Andika, R., </w:t>
              </w:r>
              <w:proofErr w:type="spellStart"/>
              <w:r w:rsidRPr="00670221">
                <w:rPr>
                  <w:lang w:val="en-US"/>
                </w:rPr>
                <w:t>Nandiyanto</w:t>
              </w:r>
              <w:proofErr w:type="spellEnd"/>
              <w:r w:rsidRPr="00670221">
                <w:rPr>
                  <w:lang w:val="en-US"/>
                </w:rPr>
                <w:t xml:space="preserve">, A. B. D., Putra, Z. A., Bilad, M. R., Kim, Y., Yun, C. M., &amp; Lee, M. (2018). Co-electrolysis for power-to-methanol applications. </w:t>
              </w:r>
              <w:r w:rsidRPr="00670221">
                <w:rPr>
                  <w:i/>
                  <w:iCs/>
                  <w:lang w:val="en-US"/>
                </w:rPr>
                <w:t>Renewable and Sustainable Energy Reviews, 95</w:t>
              </w:r>
              <w:r w:rsidRPr="00670221">
                <w:rPr>
                  <w:lang w:val="en-US"/>
                </w:rPr>
                <w:t xml:space="preserve">, 227–241. </w:t>
              </w:r>
              <w:hyperlink r:id="rId56" w:history="1">
                <w:r w:rsidRPr="00670221">
                  <w:rPr>
                    <w:rStyle w:val="Hyperlink"/>
                    <w:lang w:val="en-US"/>
                  </w:rPr>
                  <w:t>https://doi.org/10.1016/j.rser.2018.07.030</w:t>
                </w:r>
              </w:hyperlink>
            </w:p>
            <w:p w14:paraId="42E5A46C" w14:textId="6481E4A4" w:rsidR="00A22BBA" w:rsidRPr="00670221" w:rsidRDefault="00A22BBA" w:rsidP="00A85394">
              <w:pPr>
                <w:rPr>
                  <w:lang w:val="en-US"/>
                </w:rPr>
              </w:pPr>
              <w:proofErr w:type="spellStart"/>
              <w:r w:rsidRPr="00670221">
                <w:rPr>
                  <w:lang w:val="en-US"/>
                </w:rPr>
                <w:t>Amhamed</w:t>
              </w:r>
              <w:proofErr w:type="spellEnd"/>
              <w:r w:rsidRPr="00670221">
                <w:rPr>
                  <w:lang w:val="en-US"/>
                </w:rPr>
                <w:t xml:space="preserve">, A. I., Al Assaf, A. H., Le Page, L. M., &amp; </w:t>
              </w:r>
              <w:proofErr w:type="spellStart"/>
              <w:r w:rsidRPr="00670221">
                <w:rPr>
                  <w:lang w:val="en-US"/>
                </w:rPr>
                <w:t>Alrebei</w:t>
              </w:r>
              <w:proofErr w:type="spellEnd"/>
              <w:r w:rsidRPr="00670221">
                <w:rPr>
                  <w:lang w:val="en-US"/>
                </w:rPr>
                <w:t xml:space="preserve">, O. F. (2024). Alternative sustainable aviation fuel and energy (SAFE)-A Review with selected simulation cases of study. </w:t>
              </w:r>
              <w:r w:rsidRPr="00670221">
                <w:rPr>
                  <w:i/>
                  <w:iCs/>
                  <w:lang w:val="en-US"/>
                </w:rPr>
                <w:t>Energy Reports, 11</w:t>
              </w:r>
              <w:r w:rsidRPr="00670221">
                <w:rPr>
                  <w:lang w:val="en-US"/>
                </w:rPr>
                <w:t xml:space="preserve">, 3317-3344. </w:t>
              </w:r>
              <w:hyperlink r:id="rId57" w:history="1">
                <w:r w:rsidRPr="00670221">
                  <w:rPr>
                    <w:rStyle w:val="Hyperlink"/>
                    <w:lang w:val="en-US"/>
                  </w:rPr>
                  <w:t>https://doi.org/10.1016/j.egyr.2024.03.002</w:t>
                </w:r>
              </w:hyperlink>
            </w:p>
            <w:p w14:paraId="2CBD5579" w14:textId="2AEC3623" w:rsidR="00A85394" w:rsidRPr="00670221" w:rsidRDefault="00A85394" w:rsidP="00A85394">
              <w:pPr>
                <w:rPr>
                  <w:lang w:val="en-US"/>
                </w:rPr>
              </w:pPr>
              <w:r w:rsidRPr="00670221">
                <w:rPr>
                  <w:lang w:val="en-US"/>
                </w:rPr>
                <w:t xml:space="preserve">Bachmann, T. M. (2020). Considering environmental costs of greenhouse gas emissions for setting a CO2 tax: A review. </w:t>
              </w:r>
              <w:r w:rsidRPr="00670221">
                <w:rPr>
                  <w:i/>
                  <w:iCs/>
                  <w:lang w:val="en-US"/>
                </w:rPr>
                <w:t>Science of the Total Environment</w:t>
              </w:r>
              <w:r w:rsidRPr="00670221">
                <w:rPr>
                  <w:lang w:val="en-US"/>
                </w:rPr>
                <w:t xml:space="preserve">, </w:t>
              </w:r>
              <w:r w:rsidRPr="00670221">
                <w:rPr>
                  <w:i/>
                  <w:iCs/>
                  <w:lang w:val="en-US"/>
                </w:rPr>
                <w:t>720</w:t>
              </w:r>
              <w:r w:rsidRPr="00670221">
                <w:rPr>
                  <w:lang w:val="en-US"/>
                </w:rPr>
                <w:t xml:space="preserve">, 137524. </w:t>
              </w:r>
              <w:hyperlink r:id="rId58" w:history="1">
                <w:r w:rsidRPr="00670221">
                  <w:rPr>
                    <w:rStyle w:val="Hyperlink"/>
                    <w:lang w:val="en-US"/>
                  </w:rPr>
                  <w:t>https://doi.org/10.1016/j.scitotenv.2020.137524</w:t>
                </w:r>
              </w:hyperlink>
            </w:p>
            <w:p w14:paraId="7684CF4E" w14:textId="77777777" w:rsidR="00A85394" w:rsidRPr="00670221" w:rsidRDefault="00A85394" w:rsidP="00A85394">
              <w:pPr>
                <w:rPr>
                  <w:lang w:val="en-US"/>
                </w:rPr>
              </w:pPr>
              <w:proofErr w:type="spellStart"/>
              <w:r w:rsidRPr="00670221">
                <w:rPr>
                  <w:lang w:val="en-US"/>
                </w:rPr>
                <w:t>Ballal</w:t>
              </w:r>
              <w:proofErr w:type="spellEnd"/>
              <w:r w:rsidRPr="00670221">
                <w:rPr>
                  <w:lang w:val="en-US"/>
                </w:rPr>
                <w:t xml:space="preserve">, V., </w:t>
              </w:r>
              <w:proofErr w:type="spellStart"/>
              <w:r w:rsidRPr="00670221">
                <w:rPr>
                  <w:lang w:val="en-US"/>
                </w:rPr>
                <w:t>Cavalett</w:t>
              </w:r>
              <w:proofErr w:type="spellEnd"/>
              <w:r w:rsidRPr="00670221">
                <w:rPr>
                  <w:lang w:val="en-US"/>
                </w:rPr>
                <w:t xml:space="preserve">, O., Cherubini, F., &amp; Watanabe, M. D. B. (2023). Climate change impacts of e-fuels for aviation in Europe under present-day conditions and future policy scenarios. </w:t>
              </w:r>
              <w:r w:rsidRPr="00670221">
                <w:rPr>
                  <w:i/>
                  <w:iCs/>
                  <w:lang w:val="en-US"/>
                </w:rPr>
                <w:t>Fuel, 338</w:t>
              </w:r>
              <w:r w:rsidRPr="00670221">
                <w:rPr>
                  <w:lang w:val="en-US"/>
                </w:rPr>
                <w:t xml:space="preserve">, 127316. </w:t>
              </w:r>
              <w:hyperlink r:id="rId59" w:history="1">
                <w:r w:rsidRPr="00670221">
                  <w:rPr>
                    <w:rStyle w:val="Hyperlink"/>
                    <w:lang w:val="en-US"/>
                  </w:rPr>
                  <w:t>https://doi.org/10.1016/j.fuel.2022.127316</w:t>
                </w:r>
              </w:hyperlink>
            </w:p>
            <w:p w14:paraId="6011E70F" w14:textId="77777777" w:rsidR="00A85394" w:rsidRPr="00670221" w:rsidRDefault="00A85394" w:rsidP="00A85394">
              <w:pPr>
                <w:rPr>
                  <w:lang w:val="en-US"/>
                </w:rPr>
              </w:pPr>
              <w:proofErr w:type="spellStart"/>
              <w:r w:rsidRPr="00670221">
                <w:rPr>
                  <w:lang w:val="en-US"/>
                </w:rPr>
                <w:t>Becattini</w:t>
              </w:r>
              <w:proofErr w:type="spellEnd"/>
              <w:r w:rsidRPr="00670221">
                <w:rPr>
                  <w:lang w:val="en-US"/>
                </w:rPr>
                <w:t xml:space="preserve">, V., Gabrielli, P., &amp; </w:t>
              </w:r>
              <w:proofErr w:type="spellStart"/>
              <w:r w:rsidRPr="00670221">
                <w:rPr>
                  <w:lang w:val="en-US"/>
                </w:rPr>
                <w:t>Mazzotti</w:t>
              </w:r>
              <w:proofErr w:type="spellEnd"/>
              <w:r w:rsidRPr="00670221">
                <w:rPr>
                  <w:lang w:val="en-US"/>
                </w:rPr>
                <w:t xml:space="preserve">, M. (2021). Role of carbon capture, storage, and utilization to enable a net-zero-CO2-emissions aviation sector. </w:t>
              </w:r>
              <w:r w:rsidRPr="00670221">
                <w:rPr>
                  <w:i/>
                  <w:iCs/>
                  <w:lang w:val="en-US"/>
                </w:rPr>
                <w:t>Industrial &amp; Engineering Chemistry Research, 60</w:t>
              </w:r>
              <w:r w:rsidRPr="00670221">
                <w:rPr>
                  <w:lang w:val="en-US"/>
                </w:rPr>
                <w:t xml:space="preserve">(18), 6848-6862. </w:t>
              </w:r>
              <w:hyperlink r:id="rId60" w:history="1">
                <w:r w:rsidRPr="00670221">
                  <w:rPr>
                    <w:rStyle w:val="Hyperlink"/>
                    <w:lang w:val="en-US"/>
                  </w:rPr>
                  <w:t>https://dx.doi.org/10.1021/acs.iecr.0c05392?ref=pdf</w:t>
                </w:r>
              </w:hyperlink>
            </w:p>
            <w:p w14:paraId="329D0AAA" w14:textId="608631F0" w:rsidR="0025589F" w:rsidRPr="00670221" w:rsidRDefault="0025589F" w:rsidP="00A85394">
              <w:pPr>
                <w:rPr>
                  <w:lang w:val="en-US"/>
                </w:rPr>
              </w:pPr>
              <w:r w:rsidRPr="00670221">
                <w:rPr>
                  <w:lang w:val="en-US"/>
                </w:rPr>
                <w:t xml:space="preserve">Benson, C. L., &amp; Magee, C. L. (2014). On improvement rates for renewable energy technologies: Solar PV, wind turbines, capacitors, and batteries. </w:t>
              </w:r>
              <w:r w:rsidRPr="00670221">
                <w:rPr>
                  <w:i/>
                  <w:iCs/>
                  <w:lang w:val="en-US"/>
                </w:rPr>
                <w:t>Renewable Energy, 68</w:t>
              </w:r>
              <w:r w:rsidRPr="00670221">
                <w:rPr>
                  <w:lang w:val="en-US"/>
                </w:rPr>
                <w:t xml:space="preserve">, 745–751. </w:t>
              </w:r>
              <w:hyperlink r:id="rId61" w:history="1">
                <w:r w:rsidRPr="00670221">
                  <w:rPr>
                    <w:rStyle w:val="Hyperlink"/>
                    <w:lang w:val="en-US"/>
                  </w:rPr>
                  <w:t>https://doi.org/10.1016/j.renene.2014.03.002</w:t>
                </w:r>
              </w:hyperlink>
            </w:p>
            <w:p w14:paraId="2DC08717" w14:textId="77777777" w:rsidR="00A85394" w:rsidRPr="00670221" w:rsidRDefault="00A85394" w:rsidP="00A85394">
              <w:pPr>
                <w:rPr>
                  <w:lang w:val="en-US"/>
                </w:rPr>
              </w:pPr>
              <w:proofErr w:type="spellStart"/>
              <w:r w:rsidRPr="00670221">
                <w:rPr>
                  <w:lang w:val="en-US"/>
                </w:rPr>
                <w:t>Bergero</w:t>
              </w:r>
              <w:proofErr w:type="spellEnd"/>
              <w:r w:rsidRPr="00670221">
                <w:rPr>
                  <w:lang w:val="en-US"/>
                </w:rPr>
                <w:t xml:space="preserve">, C., Gosnell, G., </w:t>
              </w:r>
              <w:proofErr w:type="spellStart"/>
              <w:r w:rsidRPr="00670221">
                <w:rPr>
                  <w:lang w:val="en-US"/>
                </w:rPr>
                <w:t>Gielen</w:t>
              </w:r>
              <w:proofErr w:type="spellEnd"/>
              <w:r w:rsidRPr="00670221">
                <w:rPr>
                  <w:lang w:val="en-US"/>
                </w:rPr>
                <w:t xml:space="preserve">, D., Kang, S., </w:t>
              </w:r>
              <w:proofErr w:type="spellStart"/>
              <w:r w:rsidRPr="00670221">
                <w:rPr>
                  <w:lang w:val="en-US"/>
                </w:rPr>
                <w:t>Bazilian</w:t>
              </w:r>
              <w:proofErr w:type="spellEnd"/>
              <w:r w:rsidRPr="00670221">
                <w:rPr>
                  <w:lang w:val="en-US"/>
                </w:rPr>
                <w:t xml:space="preserve">, M., &amp; Davis, S. J. (2023). Pathways to net-zero emissions from aviation. </w:t>
              </w:r>
              <w:r w:rsidRPr="00670221">
                <w:rPr>
                  <w:i/>
                  <w:iCs/>
                  <w:lang w:val="en-US"/>
                </w:rPr>
                <w:t>Nature Sustainability</w:t>
              </w:r>
              <w:r w:rsidRPr="00670221">
                <w:rPr>
                  <w:lang w:val="en-US"/>
                </w:rPr>
                <w:t xml:space="preserve">, </w:t>
              </w:r>
              <w:r w:rsidRPr="00670221">
                <w:rPr>
                  <w:i/>
                  <w:iCs/>
                  <w:lang w:val="en-US"/>
                </w:rPr>
                <w:t>6</w:t>
              </w:r>
              <w:r w:rsidRPr="00670221">
                <w:rPr>
                  <w:lang w:val="en-US"/>
                </w:rPr>
                <w:t xml:space="preserve">(4), 404–414. </w:t>
              </w:r>
              <w:hyperlink r:id="rId62" w:history="1">
                <w:r w:rsidRPr="00670221">
                  <w:rPr>
                    <w:rStyle w:val="Hyperlink"/>
                    <w:lang w:val="en-US"/>
                  </w:rPr>
                  <w:t>https://doi.org/10.1038/s41893-022-01046-9</w:t>
                </w:r>
              </w:hyperlink>
            </w:p>
            <w:p w14:paraId="22CA6E96" w14:textId="5C34376D" w:rsidR="00487851" w:rsidRPr="00670221" w:rsidRDefault="00487851" w:rsidP="00A85394">
              <w:pPr>
                <w:rPr>
                  <w:lang w:val="en-US"/>
                </w:rPr>
              </w:pPr>
              <w:proofErr w:type="spellStart"/>
              <w:r w:rsidRPr="00670221">
                <w:rPr>
                  <w:lang w:val="en-US"/>
                </w:rPr>
                <w:t>Bergek</w:t>
              </w:r>
              <w:proofErr w:type="spellEnd"/>
              <w:r w:rsidRPr="00670221">
                <w:rPr>
                  <w:lang w:val="en-US"/>
                </w:rPr>
                <w:t xml:space="preserve">, A., Jacobsson, S., Carlsson, B., Lindmark, S., &amp; </w:t>
              </w:r>
              <w:proofErr w:type="spellStart"/>
              <w:r w:rsidRPr="00670221">
                <w:rPr>
                  <w:lang w:val="en-US"/>
                </w:rPr>
                <w:t>Rickne</w:t>
              </w:r>
              <w:proofErr w:type="spellEnd"/>
              <w:r w:rsidRPr="00670221">
                <w:rPr>
                  <w:lang w:val="en-US"/>
                </w:rPr>
                <w:t xml:space="preserve">, A. (2008). Analyzing the functional dynamics of technological innovation systems: A scheme of analysis. </w:t>
              </w:r>
              <w:r w:rsidRPr="00670221">
                <w:rPr>
                  <w:i/>
                  <w:iCs/>
                  <w:lang w:val="en-US"/>
                </w:rPr>
                <w:t>Research Policy, 37</w:t>
              </w:r>
              <w:r w:rsidRPr="00670221">
                <w:rPr>
                  <w:lang w:val="en-US"/>
                </w:rPr>
                <w:t xml:space="preserve">(3), 407–429. </w:t>
              </w:r>
              <w:hyperlink r:id="rId63" w:history="1">
                <w:r w:rsidRPr="00670221">
                  <w:rPr>
                    <w:rStyle w:val="Hyperlink"/>
                    <w:lang w:val="en-US"/>
                  </w:rPr>
                  <w:t>https://doi.org/10.1016/j.respol.2007.12.003</w:t>
                </w:r>
              </w:hyperlink>
            </w:p>
            <w:p w14:paraId="0AF8AB77" w14:textId="33655082" w:rsidR="009F7594" w:rsidRPr="00670221" w:rsidRDefault="009F7594" w:rsidP="00A85394">
              <w:pPr>
                <w:rPr>
                  <w:lang w:val="en-US"/>
                </w:rPr>
              </w:pPr>
              <w:r w:rsidRPr="00670221">
                <w:rPr>
                  <w:lang w:val="en-US"/>
                </w:rPr>
                <w:t xml:space="preserve">Bolson, N., Prieto, P., &amp; </w:t>
              </w:r>
              <w:proofErr w:type="spellStart"/>
              <w:r w:rsidRPr="00670221">
                <w:rPr>
                  <w:lang w:val="en-US"/>
                </w:rPr>
                <w:t>Patzek</w:t>
              </w:r>
              <w:proofErr w:type="spellEnd"/>
              <w:r w:rsidRPr="00670221">
                <w:rPr>
                  <w:lang w:val="en-US"/>
                </w:rPr>
                <w:t xml:space="preserve">, T. (2022). Capacity factors for electrical power generation from renewable and nonrenewable sources. </w:t>
              </w:r>
              <w:r w:rsidRPr="00670221">
                <w:rPr>
                  <w:i/>
                  <w:iCs/>
                  <w:lang w:val="en-US"/>
                </w:rPr>
                <w:t>Proceedings of the National Academy of Sciences, 119</w:t>
              </w:r>
              <w:r w:rsidRPr="00670221">
                <w:rPr>
                  <w:lang w:val="en-US"/>
                </w:rPr>
                <w:t xml:space="preserve">(52). </w:t>
              </w:r>
              <w:hyperlink r:id="rId64" w:history="1">
                <w:r w:rsidRPr="00670221">
                  <w:rPr>
                    <w:rStyle w:val="Hyperlink"/>
                    <w:lang w:val="en-US"/>
                  </w:rPr>
                  <w:t>https://doi.org/10.1073/pnas.2205429119</w:t>
                </w:r>
              </w:hyperlink>
            </w:p>
            <w:p w14:paraId="65289C92" w14:textId="4D1A749E" w:rsidR="00B954A0" w:rsidRPr="00670221" w:rsidRDefault="00B954A0" w:rsidP="00A85394">
              <w:pPr>
                <w:rPr>
                  <w:lang w:val="en-US"/>
                </w:rPr>
              </w:pPr>
              <w:proofErr w:type="spellStart"/>
              <w:r w:rsidRPr="00670221">
                <w:rPr>
                  <w:lang w:val="en-US"/>
                </w:rPr>
                <w:t>Branker</w:t>
              </w:r>
              <w:proofErr w:type="spellEnd"/>
              <w:r w:rsidRPr="00670221">
                <w:rPr>
                  <w:lang w:val="en-US"/>
                </w:rPr>
                <w:t>, K., Pathak, M. J. M., &amp; Pearce, J. M. (2011). A review of solar photovoltaic levelized cost of electricity</w:t>
              </w:r>
              <w:r w:rsidRPr="00670221">
                <w:rPr>
                  <w:i/>
                  <w:iCs/>
                  <w:lang w:val="en-US"/>
                </w:rPr>
                <w:t>. Renewable and sustainable energy reviews, 15</w:t>
              </w:r>
              <w:r w:rsidRPr="00670221">
                <w:rPr>
                  <w:lang w:val="en-US"/>
                </w:rPr>
                <w:t>(9), 4470-4482.</w:t>
              </w:r>
            </w:p>
            <w:p w14:paraId="4E0B36D3" w14:textId="13F97C77" w:rsidR="00A85394" w:rsidRPr="00670221" w:rsidRDefault="00A85394" w:rsidP="00A85394">
              <w:pPr>
                <w:rPr>
                  <w:rStyle w:val="Hyperlink"/>
                  <w:lang w:val="en-US"/>
                </w:rPr>
              </w:pPr>
              <w:r w:rsidRPr="00670221">
                <w:rPr>
                  <w:lang w:val="en-US"/>
                </w:rPr>
                <w:t xml:space="preserve">Carbon Gap. (n.d.). </w:t>
              </w:r>
              <w:r w:rsidRPr="00670221">
                <w:rPr>
                  <w:i/>
                  <w:iCs/>
                  <w:lang w:val="en-US"/>
                </w:rPr>
                <w:t>The different types of carbon removal technologies</w:t>
              </w:r>
              <w:r w:rsidRPr="00670221">
                <w:rPr>
                  <w:lang w:val="en-US"/>
                </w:rPr>
                <w:t xml:space="preserve">. carbongap.org. </w:t>
              </w:r>
              <w:hyperlink r:id="rId65" w:history="1">
                <w:r w:rsidRPr="00670221">
                  <w:rPr>
                    <w:rStyle w:val="Hyperlink"/>
                    <w:lang w:val="en-US"/>
                  </w:rPr>
                  <w:t>https://carbongap.org/infographics/?utm_source=substack&amp;utm_medium=email</w:t>
                </w:r>
              </w:hyperlink>
            </w:p>
            <w:p w14:paraId="0B021208" w14:textId="77777777" w:rsidR="00BF309B" w:rsidRPr="00670221" w:rsidRDefault="00BF309B" w:rsidP="00A85394">
              <w:pPr>
                <w:rPr>
                  <w:rStyle w:val="Hyperlink"/>
                  <w:lang w:val="en-US"/>
                </w:rPr>
              </w:pPr>
            </w:p>
            <w:p w14:paraId="4694078F" w14:textId="7E8678F8" w:rsidR="00BF309B" w:rsidRPr="00670221" w:rsidRDefault="00BF309B" w:rsidP="00A85394">
              <w:pPr>
                <w:rPr>
                  <w:lang w:val="en-US"/>
                </w:rPr>
              </w:pPr>
              <w:r w:rsidRPr="00670221">
                <w:rPr>
                  <w:lang w:val="en-US"/>
                </w:rPr>
                <w:lastRenderedPageBreak/>
                <w:t xml:space="preserve">Burchardt, J., </w:t>
              </w:r>
              <w:proofErr w:type="spellStart"/>
              <w:r w:rsidRPr="00670221">
                <w:rPr>
                  <w:lang w:val="en-US"/>
                </w:rPr>
                <w:t>Hegnsholt</w:t>
              </w:r>
              <w:proofErr w:type="spellEnd"/>
              <w:r w:rsidRPr="00670221">
                <w:rPr>
                  <w:lang w:val="en-US"/>
                </w:rPr>
                <w:t xml:space="preserve">, E., Holm, M., Klose, F., Ritter, D., &amp; </w:t>
              </w:r>
              <w:proofErr w:type="spellStart"/>
              <w:r w:rsidRPr="00670221">
                <w:rPr>
                  <w:lang w:val="en-US"/>
                </w:rPr>
                <w:t>Schönberger</w:t>
              </w:r>
              <w:proofErr w:type="spellEnd"/>
              <w:r w:rsidRPr="00670221">
                <w:rPr>
                  <w:lang w:val="en-US"/>
                </w:rPr>
                <w:t xml:space="preserve">, S. (2023). </w:t>
              </w:r>
              <w:r w:rsidRPr="00670221">
                <w:rPr>
                  <w:i/>
                  <w:iCs/>
                  <w:lang w:val="en-US"/>
                </w:rPr>
                <w:t xml:space="preserve">Turning the European Green Hydrogen Dream into Reality: A Call to Action </w:t>
              </w:r>
              <w:r w:rsidRPr="00670221">
                <w:rPr>
                  <w:lang w:val="en-US"/>
                </w:rPr>
                <w:t xml:space="preserve">[Report]. Boston Consulting Group. </w:t>
              </w:r>
              <w:hyperlink r:id="rId66" w:history="1">
                <w:r w:rsidRPr="00670221">
                  <w:rPr>
                    <w:rStyle w:val="Hyperlink"/>
                    <w:lang w:val="en-US"/>
                  </w:rPr>
                  <w:t>https://media-publications.bcg.com/Turning-the-European-Green-H2-Dream-into-Reality.pdf</w:t>
                </w:r>
              </w:hyperlink>
            </w:p>
            <w:p w14:paraId="1F4322B5" w14:textId="27B42FA1" w:rsidR="00A85394" w:rsidRPr="00670221" w:rsidRDefault="00A85394" w:rsidP="00A85394">
              <w:pPr>
                <w:rPr>
                  <w:rStyle w:val="Hyperlink"/>
                  <w:color w:val="auto"/>
                  <w:u w:val="none"/>
                  <w:lang w:val="en-US"/>
                </w:rPr>
              </w:pPr>
              <w:proofErr w:type="spellStart"/>
              <w:r w:rsidRPr="00670221">
                <w:rPr>
                  <w:lang w:val="en-US"/>
                </w:rPr>
                <w:t>Chiaramonti</w:t>
              </w:r>
              <w:proofErr w:type="spellEnd"/>
              <w:r w:rsidRPr="00670221">
                <w:rPr>
                  <w:lang w:val="en-US"/>
                </w:rPr>
                <w:t xml:space="preserve">, D. (2019). Sustainable Aviation Fuels: the challenge of decarbonization. </w:t>
              </w:r>
              <w:r w:rsidRPr="00670221">
                <w:rPr>
                  <w:i/>
                  <w:iCs/>
                  <w:lang w:val="en-US"/>
                </w:rPr>
                <w:t>Energy Procedia</w:t>
              </w:r>
              <w:r w:rsidRPr="00670221">
                <w:rPr>
                  <w:lang w:val="en-US"/>
                </w:rPr>
                <w:t xml:space="preserve">, </w:t>
              </w:r>
              <w:r w:rsidRPr="00670221">
                <w:rPr>
                  <w:i/>
                  <w:iCs/>
                  <w:lang w:val="en-US"/>
                </w:rPr>
                <w:t>158</w:t>
              </w:r>
              <w:r w:rsidRPr="00670221">
                <w:rPr>
                  <w:lang w:val="en-US"/>
                </w:rPr>
                <w:t xml:space="preserve">, 1202–1207. </w:t>
              </w:r>
              <w:hyperlink r:id="rId67" w:history="1">
                <w:r w:rsidRPr="00670221">
                  <w:rPr>
                    <w:rStyle w:val="Hyperlink"/>
                    <w:lang w:val="en-US"/>
                  </w:rPr>
                  <w:t>https://doi.org/10.1016/j.egypro.2019.01.308</w:t>
                </w:r>
              </w:hyperlink>
            </w:p>
            <w:p w14:paraId="14E18DD6" w14:textId="26D1711C" w:rsidR="007715AA" w:rsidRPr="00670221" w:rsidRDefault="007715AA" w:rsidP="00A85394">
              <w:pPr>
                <w:rPr>
                  <w:lang w:val="en-US"/>
                </w:rPr>
              </w:pPr>
              <w:r w:rsidRPr="00670221">
                <w:rPr>
                  <w:lang w:val="en-US"/>
                </w:rPr>
                <w:t xml:space="preserve">Choe, C., Cheon, S., Gu, J., &amp; Lim, H. (2022). Critical aspect of renewable syngas production for power-to-fuel via solid oxide electrolysis: Integrative assessment for potential renewable energy source. </w:t>
              </w:r>
              <w:r w:rsidRPr="00670221">
                <w:rPr>
                  <w:i/>
                  <w:iCs/>
                  <w:lang w:val="en-US"/>
                </w:rPr>
                <w:t>Renewable and Sustainable Energy Reviews, 161</w:t>
              </w:r>
              <w:r w:rsidRPr="00670221">
                <w:rPr>
                  <w:lang w:val="en-US"/>
                </w:rPr>
                <w:t xml:space="preserve">, 112398. </w:t>
              </w:r>
              <w:hyperlink r:id="rId68" w:history="1">
                <w:r w:rsidRPr="00670221">
                  <w:rPr>
                    <w:rStyle w:val="Hyperlink"/>
                    <w:lang w:val="en-US"/>
                  </w:rPr>
                  <w:t>https://doi.org/10.1016/j.rser.2022.112398</w:t>
                </w:r>
              </w:hyperlink>
            </w:p>
            <w:p w14:paraId="4DC95559" w14:textId="381ADF1E" w:rsidR="00596695" w:rsidRPr="00670221" w:rsidRDefault="00596695" w:rsidP="00A85394">
              <w:pPr>
                <w:rPr>
                  <w:lang w:val="en-US"/>
                </w:rPr>
              </w:pPr>
              <w:r w:rsidRPr="00670221">
                <w:rPr>
                  <w:lang w:val="en-US"/>
                </w:rPr>
                <w:t>Cifuentes-</w:t>
              </w:r>
              <w:proofErr w:type="spellStart"/>
              <w:r w:rsidRPr="00670221">
                <w:rPr>
                  <w:lang w:val="en-US"/>
                </w:rPr>
                <w:t>Faura</w:t>
              </w:r>
              <w:proofErr w:type="spellEnd"/>
              <w:r w:rsidRPr="00670221">
                <w:rPr>
                  <w:lang w:val="en-US"/>
                </w:rPr>
                <w:t xml:space="preserve">, J. (2022). European Union policies and their role in combating climate change over the years. </w:t>
              </w:r>
              <w:r w:rsidRPr="00670221">
                <w:rPr>
                  <w:i/>
                  <w:iCs/>
                  <w:lang w:val="en-US"/>
                </w:rPr>
                <w:t>Air Quality, Atmosphere, &amp; Health, 15</w:t>
              </w:r>
              <w:r w:rsidRPr="00670221">
                <w:rPr>
                  <w:lang w:val="en-US"/>
                </w:rPr>
                <w:t xml:space="preserve">(8), 1333–1342. </w:t>
              </w:r>
              <w:hyperlink r:id="rId69" w:history="1">
                <w:r w:rsidRPr="00670221">
                  <w:rPr>
                    <w:rStyle w:val="Hyperlink"/>
                    <w:lang w:val="en-US"/>
                  </w:rPr>
                  <w:t>https://doi.org/10.1007/s11869-022-01156-5</w:t>
                </w:r>
              </w:hyperlink>
            </w:p>
            <w:p w14:paraId="6D973C5D" w14:textId="0E682E6A" w:rsidR="00A85394" w:rsidRPr="00670221" w:rsidRDefault="00A85394" w:rsidP="00A85394">
              <w:pPr>
                <w:rPr>
                  <w:rStyle w:val="Hyperlink"/>
                  <w:lang w:val="en-US"/>
                </w:rPr>
              </w:pPr>
              <w:r w:rsidRPr="00670221">
                <w:rPr>
                  <w:lang w:val="en-US"/>
                </w:rPr>
                <w:t xml:space="preserve">Council of the EU. (2023). </w:t>
              </w:r>
              <w:proofErr w:type="spellStart"/>
              <w:r w:rsidRPr="00670221">
                <w:rPr>
                  <w:i/>
                  <w:iCs/>
                  <w:lang w:val="en-US"/>
                </w:rPr>
                <w:t>RefuelEU</w:t>
              </w:r>
              <w:proofErr w:type="spellEnd"/>
              <w:r w:rsidRPr="00670221">
                <w:rPr>
                  <w:i/>
                  <w:iCs/>
                  <w:lang w:val="en-US"/>
                </w:rPr>
                <w:t xml:space="preserve"> aviation initiative: Council adopts new law to </w:t>
              </w:r>
              <w:proofErr w:type="spellStart"/>
              <w:r w:rsidRPr="00670221">
                <w:rPr>
                  <w:i/>
                  <w:iCs/>
                  <w:lang w:val="en-US"/>
                </w:rPr>
                <w:t>decarbonise</w:t>
              </w:r>
              <w:proofErr w:type="spellEnd"/>
              <w:r w:rsidRPr="00670221">
                <w:rPr>
                  <w:i/>
                  <w:iCs/>
                  <w:lang w:val="en-US"/>
                </w:rPr>
                <w:t xml:space="preserve"> the aviation sector</w:t>
              </w:r>
              <w:r w:rsidRPr="00670221">
                <w:rPr>
                  <w:lang w:val="en-US"/>
                </w:rPr>
                <w:t xml:space="preserve"> [Press release]. </w:t>
              </w:r>
              <w:hyperlink r:id="rId70" w:history="1">
                <w:r w:rsidRPr="00670221">
                  <w:rPr>
                    <w:rStyle w:val="Hyperlink"/>
                    <w:lang w:val="en-US"/>
                  </w:rPr>
                  <w:t>https://www.consilium.europa.eu/en/press/press-releases/2023/10/09/refueleu-aviation-initiative-council-adopts-new-law-to-decarbonise-the-aviation-sector/</w:t>
                </w:r>
              </w:hyperlink>
            </w:p>
            <w:p w14:paraId="5DF3A7FB" w14:textId="77777777" w:rsidR="00A85394" w:rsidRPr="00670221" w:rsidRDefault="00A85394" w:rsidP="00A85394">
              <w:pPr>
                <w:rPr>
                  <w:lang w:val="en-US"/>
                </w:rPr>
              </w:pPr>
              <w:r w:rsidRPr="00670221">
                <w:rPr>
                  <w:lang w:val="en-US"/>
                </w:rPr>
                <w:t xml:space="preserve">Creswell, J. W. (1994). </w:t>
              </w:r>
              <w:r w:rsidRPr="00670221">
                <w:rPr>
                  <w:i/>
                  <w:iCs/>
                  <w:lang w:val="en-US"/>
                </w:rPr>
                <w:t xml:space="preserve">Research Design: Qualitative, quantitative, and mixed methods </w:t>
              </w:r>
              <w:proofErr w:type="gramStart"/>
              <w:r w:rsidRPr="00670221">
                <w:rPr>
                  <w:i/>
                  <w:iCs/>
                  <w:lang w:val="en-US"/>
                </w:rPr>
                <w:t>approaches</w:t>
              </w:r>
              <w:proofErr w:type="gramEnd"/>
              <w:r w:rsidRPr="00670221">
                <w:rPr>
                  <w:lang w:val="en-US"/>
                </w:rPr>
                <w:t xml:space="preserve">. </w:t>
              </w:r>
              <w:hyperlink r:id="rId71" w:history="1">
                <w:r w:rsidRPr="00670221">
                  <w:rPr>
                    <w:rStyle w:val="Hyperlink"/>
                    <w:lang w:val="en-US"/>
                  </w:rPr>
                  <w:t>http://www.revistacomunicacion.org/pdf/n3/resenas/research_design_qualitative_quantitative_and_mixed_methods_approaches.pdf</w:t>
                </w:r>
              </w:hyperlink>
            </w:p>
            <w:p w14:paraId="67802D1C" w14:textId="77777777" w:rsidR="00A85394" w:rsidRPr="00670221" w:rsidRDefault="00A85394" w:rsidP="00A85394">
              <w:pPr>
                <w:rPr>
                  <w:lang w:val="en-US"/>
                </w:rPr>
              </w:pPr>
              <w:r w:rsidRPr="00670221">
                <w:rPr>
                  <w:lang w:val="en-US"/>
                </w:rPr>
                <w:t xml:space="preserve">Crowe, S., Cresswell, K., Robertson, A., </w:t>
              </w:r>
              <w:proofErr w:type="spellStart"/>
              <w:r w:rsidRPr="00670221">
                <w:rPr>
                  <w:lang w:val="en-US"/>
                </w:rPr>
                <w:t>Huby</w:t>
              </w:r>
              <w:proofErr w:type="spellEnd"/>
              <w:r w:rsidRPr="00670221">
                <w:rPr>
                  <w:lang w:val="en-US"/>
                </w:rPr>
                <w:t xml:space="preserve">, G., Avery, A. J., &amp; Sheikh, A. (2011). The case study approach. </w:t>
              </w:r>
              <w:r w:rsidRPr="00670221">
                <w:rPr>
                  <w:i/>
                  <w:iCs/>
                  <w:lang w:val="en-US"/>
                </w:rPr>
                <w:t>BMC Medical Research Methodology</w:t>
              </w:r>
              <w:r w:rsidRPr="00670221">
                <w:rPr>
                  <w:lang w:val="en-US"/>
                </w:rPr>
                <w:t xml:space="preserve">, </w:t>
              </w:r>
              <w:r w:rsidRPr="00670221">
                <w:rPr>
                  <w:i/>
                  <w:iCs/>
                  <w:lang w:val="en-US"/>
                </w:rPr>
                <w:t>11</w:t>
              </w:r>
              <w:r w:rsidRPr="00670221">
                <w:rPr>
                  <w:lang w:val="en-US"/>
                </w:rPr>
                <w:t xml:space="preserve">(1). </w:t>
              </w:r>
              <w:hyperlink r:id="rId72" w:history="1">
                <w:r w:rsidRPr="00670221">
                  <w:rPr>
                    <w:rStyle w:val="Hyperlink"/>
                    <w:lang w:val="en-US"/>
                  </w:rPr>
                  <w:t>https://doi.org/10.1186/1471-2288-11-100</w:t>
                </w:r>
              </w:hyperlink>
            </w:p>
            <w:p w14:paraId="3B4F7EB6" w14:textId="77777777" w:rsidR="00A85394" w:rsidRPr="00670221" w:rsidRDefault="00A85394" w:rsidP="00A85394">
              <w:pPr>
                <w:rPr>
                  <w:lang w:val="en-US"/>
                </w:rPr>
              </w:pPr>
              <w:proofErr w:type="spellStart"/>
              <w:r w:rsidRPr="00670221">
                <w:rPr>
                  <w:lang w:val="en-US"/>
                </w:rPr>
                <w:t>D’Adamo</w:t>
              </w:r>
              <w:proofErr w:type="spellEnd"/>
              <w:r w:rsidRPr="00670221">
                <w:rPr>
                  <w:lang w:val="en-US"/>
                </w:rPr>
                <w:t xml:space="preserve">, I., Gastaldi, M., Giannini, M., &amp; </w:t>
              </w:r>
              <w:proofErr w:type="spellStart"/>
              <w:r w:rsidRPr="00670221">
                <w:rPr>
                  <w:lang w:val="en-US"/>
                </w:rPr>
                <w:t>Nizami</w:t>
              </w:r>
              <w:proofErr w:type="spellEnd"/>
              <w:r w:rsidRPr="00670221">
                <w:rPr>
                  <w:lang w:val="en-US"/>
                </w:rPr>
                <w:t xml:space="preserve">, A. (2024). Environmental implications and levelized cost analysis of E-fuel production under photovoltaic energy, direct air capture, and hydrogen. </w:t>
              </w:r>
              <w:r w:rsidRPr="00670221">
                <w:rPr>
                  <w:i/>
                  <w:iCs/>
                  <w:lang w:val="en-US"/>
                </w:rPr>
                <w:t>Environmental Research</w:t>
              </w:r>
              <w:r w:rsidRPr="00670221">
                <w:rPr>
                  <w:lang w:val="en-US"/>
                </w:rPr>
                <w:t xml:space="preserve">, 118163. </w:t>
              </w:r>
              <w:hyperlink r:id="rId73" w:history="1">
                <w:r w:rsidRPr="00670221">
                  <w:rPr>
                    <w:rStyle w:val="Hyperlink"/>
                    <w:lang w:val="en-US"/>
                  </w:rPr>
                  <w:t>https://doi.org/10.1016/j.envres.2024.118163</w:t>
                </w:r>
              </w:hyperlink>
            </w:p>
            <w:p w14:paraId="4FC0140B" w14:textId="52049063" w:rsidR="00C62BCC" w:rsidRPr="00670221" w:rsidRDefault="00C62BCC" w:rsidP="00A85394">
              <w:pPr>
                <w:rPr>
                  <w:lang w:val="en-US"/>
                </w:rPr>
              </w:pPr>
              <w:r w:rsidRPr="00670221">
                <w:rPr>
                  <w:lang w:val="en-US"/>
                </w:rPr>
                <w:t xml:space="preserve">Dietrich, R., </w:t>
              </w:r>
              <w:proofErr w:type="spellStart"/>
              <w:r w:rsidRPr="00670221">
                <w:rPr>
                  <w:lang w:val="en-US"/>
                </w:rPr>
                <w:t>Adelung</w:t>
              </w:r>
              <w:proofErr w:type="spellEnd"/>
              <w:r w:rsidRPr="00670221">
                <w:rPr>
                  <w:lang w:val="en-US"/>
                </w:rPr>
                <w:t xml:space="preserve">, S., </w:t>
              </w:r>
              <w:proofErr w:type="spellStart"/>
              <w:r w:rsidRPr="00670221">
                <w:rPr>
                  <w:lang w:val="en-US"/>
                </w:rPr>
                <w:t>Habermeyer</w:t>
              </w:r>
              <w:proofErr w:type="spellEnd"/>
              <w:r w:rsidRPr="00670221">
                <w:rPr>
                  <w:lang w:val="en-US"/>
                </w:rPr>
                <w:t xml:space="preserve">, F., Maier, S., Philippi, P., Raab, M., &amp; Weyand, J. (2024b). Technical, economic and ecological assessment of European sustainable aviation fuels (SAF) production. </w:t>
              </w:r>
              <w:r w:rsidRPr="00670221">
                <w:rPr>
                  <w:i/>
                  <w:iCs/>
                  <w:lang w:val="en-US"/>
                </w:rPr>
                <w:t>CEAS Aeronautical Journal, 15</w:t>
              </w:r>
              <w:r w:rsidRPr="00670221">
                <w:rPr>
                  <w:lang w:val="en-US"/>
                </w:rPr>
                <w:t xml:space="preserve">(2), 161–174. </w:t>
              </w:r>
              <w:hyperlink r:id="rId74" w:history="1">
                <w:r w:rsidRPr="00670221">
                  <w:rPr>
                    <w:rStyle w:val="Hyperlink"/>
                    <w:lang w:val="en-US"/>
                  </w:rPr>
                  <w:t>https://doi.org/10.1007/s13272-024-00714-0</w:t>
                </w:r>
              </w:hyperlink>
            </w:p>
            <w:p w14:paraId="6F44BC9C" w14:textId="7C61D1F1" w:rsidR="00384506" w:rsidRPr="00670221" w:rsidRDefault="00384506" w:rsidP="00A85394">
              <w:pPr>
                <w:rPr>
                  <w:lang w:val="en-US"/>
                </w:rPr>
              </w:pPr>
              <w:r w:rsidRPr="00670221">
                <w:rPr>
                  <w:lang w:val="en-US"/>
                </w:rPr>
                <w:t>DiMartino, B. B. (2023). Direct Air Capture as a Carbon Removal Solution: Analyzing Scale-Up, Cost Reduction, and Pathways for Acceleration (Doctoral dissertation, Massachusetts Institute of Technology).</w:t>
              </w:r>
              <w:r w:rsidR="0049774B" w:rsidRPr="00670221">
                <w:rPr>
                  <w:lang w:val="en-US"/>
                </w:rPr>
                <w:t xml:space="preserve"> MIT Theses.</w:t>
              </w:r>
              <w:r w:rsidRPr="00670221">
                <w:rPr>
                  <w:lang w:val="en-US"/>
                </w:rPr>
                <w:t xml:space="preserve"> </w:t>
              </w:r>
              <w:hyperlink r:id="rId75" w:history="1">
                <w:r w:rsidRPr="00670221">
                  <w:rPr>
                    <w:rStyle w:val="Hyperlink"/>
                    <w:lang w:val="en-US"/>
                  </w:rPr>
                  <w:t>https://hdl.handle.net/1721.1/152729</w:t>
                </w:r>
              </w:hyperlink>
            </w:p>
            <w:p w14:paraId="73BCE966" w14:textId="60106021" w:rsidR="00A85394" w:rsidRPr="00670221" w:rsidRDefault="00A85394" w:rsidP="00A85394">
              <w:pPr>
                <w:rPr>
                  <w:lang w:val="en-US"/>
                </w:rPr>
              </w:pPr>
              <w:r w:rsidRPr="00670221">
                <w:rPr>
                  <w:lang w:val="en-US"/>
                </w:rPr>
                <w:t xml:space="preserve">Dray, L., Schäfer, A., Grobler, C., Falter, C., </w:t>
              </w:r>
              <w:proofErr w:type="spellStart"/>
              <w:r w:rsidRPr="00670221">
                <w:rPr>
                  <w:lang w:val="en-US"/>
                </w:rPr>
                <w:t>Allroggen</w:t>
              </w:r>
              <w:proofErr w:type="spellEnd"/>
              <w:r w:rsidRPr="00670221">
                <w:rPr>
                  <w:lang w:val="en-US"/>
                </w:rPr>
                <w:t xml:space="preserve">, F., Stettler, M., &amp; Barrett, S. R. H. (2022). Cost and emissions pathways towards net-zero climate impacts in aviation. </w:t>
              </w:r>
              <w:r w:rsidRPr="00670221">
                <w:rPr>
                  <w:i/>
                  <w:iCs/>
                  <w:lang w:val="en-US"/>
                </w:rPr>
                <w:t>Nature Climate Change</w:t>
              </w:r>
              <w:r w:rsidRPr="00670221">
                <w:rPr>
                  <w:lang w:val="en-US"/>
                </w:rPr>
                <w:t xml:space="preserve">, </w:t>
              </w:r>
              <w:r w:rsidRPr="00670221">
                <w:rPr>
                  <w:i/>
                  <w:iCs/>
                  <w:lang w:val="en-US"/>
                </w:rPr>
                <w:t>12</w:t>
              </w:r>
              <w:r w:rsidRPr="00670221">
                <w:rPr>
                  <w:lang w:val="en-US"/>
                </w:rPr>
                <w:t xml:space="preserve">(10), 956–962. </w:t>
              </w:r>
              <w:hyperlink r:id="rId76" w:history="1">
                <w:r w:rsidRPr="00670221">
                  <w:rPr>
                    <w:rStyle w:val="Hyperlink"/>
                    <w:lang w:val="en-US"/>
                  </w:rPr>
                  <w:t>https://doi.org/10.1038/s41558-022-01485-4</w:t>
                </w:r>
              </w:hyperlink>
            </w:p>
            <w:p w14:paraId="494A71E4" w14:textId="364FFC14" w:rsidR="0047671F" w:rsidRPr="00670221" w:rsidRDefault="0047671F" w:rsidP="00A85394">
              <w:pPr>
                <w:rPr>
                  <w:lang w:val="en-US"/>
                </w:rPr>
              </w:pPr>
              <w:proofErr w:type="spellStart"/>
              <w:r w:rsidRPr="00670221">
                <w:rPr>
                  <w:lang w:val="en-US"/>
                </w:rPr>
                <w:t>Erriu</w:t>
              </w:r>
              <w:proofErr w:type="spellEnd"/>
              <w:r w:rsidRPr="00670221">
                <w:rPr>
                  <w:lang w:val="en-US"/>
                </w:rPr>
                <w:t xml:space="preserve">, R., Marcucci, E., &amp; Gatta, V. (2024). Facilitating a sustainable aviation fuel transition in Italy. </w:t>
              </w:r>
              <w:r w:rsidRPr="00670221">
                <w:rPr>
                  <w:i/>
                  <w:iCs/>
                  <w:lang w:val="en-US"/>
                </w:rPr>
                <w:t>Energies, 17</w:t>
              </w:r>
              <w:r w:rsidRPr="00670221">
                <w:rPr>
                  <w:lang w:val="en-US"/>
                </w:rPr>
                <w:t xml:space="preserve">(14), 3388. </w:t>
              </w:r>
              <w:hyperlink r:id="rId77" w:history="1">
                <w:r w:rsidRPr="00670221">
                  <w:rPr>
                    <w:rStyle w:val="Hyperlink"/>
                    <w:lang w:val="en-US"/>
                  </w:rPr>
                  <w:t>https://doi.org/10.3390/en17143388</w:t>
                </w:r>
              </w:hyperlink>
            </w:p>
            <w:p w14:paraId="01517770" w14:textId="2366C2B5" w:rsidR="00F46DAF" w:rsidRPr="00670221" w:rsidRDefault="00F46DAF" w:rsidP="00A85394">
              <w:pPr>
                <w:rPr>
                  <w:lang w:val="en-US"/>
                </w:rPr>
              </w:pPr>
              <w:r w:rsidRPr="00670221">
                <w:rPr>
                  <w:lang w:val="en-US"/>
                </w:rPr>
                <w:t xml:space="preserve">European Biogas Association. (2022). </w:t>
              </w:r>
              <w:r w:rsidRPr="00670221">
                <w:rPr>
                  <w:i/>
                  <w:iCs/>
                  <w:lang w:val="en-US"/>
                </w:rPr>
                <w:t>Biogenic CO2 from the biogas industry</w:t>
              </w:r>
              <w:r w:rsidRPr="00670221">
                <w:rPr>
                  <w:lang w:val="en-US"/>
                </w:rPr>
                <w:t xml:space="preserve">. </w:t>
              </w:r>
              <w:hyperlink r:id="rId78" w:history="1">
                <w:r w:rsidRPr="00670221">
                  <w:rPr>
                    <w:rStyle w:val="Hyperlink"/>
                    <w:lang w:val="en-US"/>
                  </w:rPr>
                  <w:t>https://www.europeanbiogas.eu/wp-content/uploads/2022/10/Biogenic-CO2-from-the-biogas-industry_Sept2022-1.pdf</w:t>
                </w:r>
              </w:hyperlink>
            </w:p>
            <w:p w14:paraId="26BA4F6C" w14:textId="2CD1A270" w:rsidR="00E663C1" w:rsidRPr="00670221" w:rsidRDefault="00E663C1" w:rsidP="00A85394">
              <w:pPr>
                <w:rPr>
                  <w:lang w:val="en-US"/>
                </w:rPr>
              </w:pPr>
              <w:r w:rsidRPr="00670221">
                <w:rPr>
                  <w:lang w:val="en-US"/>
                </w:rPr>
                <w:lastRenderedPageBreak/>
                <w:t xml:space="preserve">European Commission. (2021). </w:t>
              </w:r>
              <w:r w:rsidRPr="00670221">
                <w:rPr>
                  <w:i/>
                  <w:iCs/>
                  <w:lang w:val="en-US"/>
                </w:rPr>
                <w:t>The European Green Deal</w:t>
              </w:r>
              <w:r w:rsidRPr="00670221">
                <w:rPr>
                  <w:lang w:val="en-US"/>
                </w:rPr>
                <w:t xml:space="preserve">. </w:t>
              </w:r>
              <w:hyperlink r:id="rId79" w:history="1">
                <w:r w:rsidRPr="00670221">
                  <w:rPr>
                    <w:rStyle w:val="Hyperlink"/>
                    <w:lang w:val="en-US"/>
                  </w:rPr>
                  <w:t>https://commission.europa.eu/strategy-and-policy/priorities-2019-2024/european-green-deal_en</w:t>
                </w:r>
              </w:hyperlink>
            </w:p>
            <w:p w14:paraId="5BA04D1C" w14:textId="6B74CA94" w:rsidR="00CD098C" w:rsidRPr="00670221" w:rsidRDefault="00CD098C" w:rsidP="00A85394">
              <w:pPr>
                <w:rPr>
                  <w:lang w:val="en-US"/>
                </w:rPr>
              </w:pPr>
              <w:r w:rsidRPr="00670221">
                <w:rPr>
                  <w:lang w:val="en-US"/>
                </w:rPr>
                <w:t xml:space="preserve">European Commission. (2022). </w:t>
              </w:r>
              <w:r w:rsidRPr="00670221">
                <w:rPr>
                  <w:i/>
                  <w:iCs/>
                  <w:lang w:val="en-US"/>
                </w:rPr>
                <w:t>European Green Deal: New rules agreed on applying the EU emissions trading system in the aviation sector</w:t>
              </w:r>
              <w:r w:rsidRPr="00670221">
                <w:rPr>
                  <w:lang w:val="en-US"/>
                </w:rPr>
                <w:t xml:space="preserve"> (Press Release IP/22/7609). European Commission. </w:t>
              </w:r>
              <w:hyperlink r:id="rId80" w:history="1">
                <w:r w:rsidRPr="00670221">
                  <w:rPr>
                    <w:rStyle w:val="Hyperlink"/>
                    <w:lang w:val="en-US"/>
                  </w:rPr>
                  <w:t>https://ec.europa.eu/commission/presscorner/detail/en/ip_22_7609</w:t>
                </w:r>
              </w:hyperlink>
            </w:p>
            <w:p w14:paraId="033CEBDC" w14:textId="772B1927" w:rsidR="00237EEC" w:rsidRPr="00670221" w:rsidRDefault="00237EEC" w:rsidP="00A85394">
              <w:pPr>
                <w:rPr>
                  <w:lang w:val="en-US"/>
                </w:rPr>
              </w:pPr>
              <w:r w:rsidRPr="00670221">
                <w:rPr>
                  <w:lang w:val="en-US"/>
                </w:rPr>
                <w:t xml:space="preserve">European Commission. (2023). </w:t>
              </w:r>
              <w:r w:rsidRPr="00670221">
                <w:rPr>
                  <w:i/>
                  <w:iCs/>
                  <w:lang w:val="en-US"/>
                </w:rPr>
                <w:t xml:space="preserve">Commission sets out rules for renewable hydrogen. </w:t>
              </w:r>
              <w:r w:rsidRPr="00670221">
                <w:rPr>
                  <w:lang w:val="en-US"/>
                </w:rPr>
                <w:t xml:space="preserve">Retrieved from </w:t>
              </w:r>
              <w:hyperlink r:id="rId81" w:history="1">
                <w:r w:rsidRPr="00670221">
                  <w:rPr>
                    <w:rStyle w:val="Hyperlink"/>
                    <w:lang w:val="en-US"/>
                  </w:rPr>
                  <w:t>https://ec.europa.eu/commission/presscorner/detail/en/ip_23_594</w:t>
                </w:r>
              </w:hyperlink>
            </w:p>
            <w:p w14:paraId="7687A953" w14:textId="3A5066B1" w:rsidR="00D20BD8" w:rsidRPr="00670221" w:rsidRDefault="00D20BD8" w:rsidP="00A85394">
              <w:pPr>
                <w:rPr>
                  <w:lang w:val="en-US"/>
                </w:rPr>
              </w:pPr>
              <w:r w:rsidRPr="00670221">
                <w:rPr>
                  <w:lang w:val="en-US"/>
                </w:rPr>
                <w:t xml:space="preserve">European Commission. (2023). </w:t>
              </w:r>
              <w:r w:rsidRPr="00670221">
                <w:rPr>
                  <w:i/>
                  <w:iCs/>
                  <w:lang w:val="en-US"/>
                </w:rPr>
                <w:t>What is the Innovation Fund?</w:t>
              </w:r>
              <w:r w:rsidRPr="00670221">
                <w:rPr>
                  <w:lang w:val="en-US"/>
                </w:rPr>
                <w:t xml:space="preserve"> Retrieved from </w:t>
              </w:r>
              <w:hyperlink r:id="rId82" w:history="1">
                <w:r w:rsidRPr="00670221">
                  <w:rPr>
                    <w:rStyle w:val="Hyperlink"/>
                    <w:lang w:val="en-US"/>
                  </w:rPr>
                  <w:t>https://climate.ec.europa.eu/eu-action/funding-climate-action/innovation-fund/what-innovation-fund_en</w:t>
                </w:r>
              </w:hyperlink>
            </w:p>
            <w:p w14:paraId="63DB5A23" w14:textId="77777777" w:rsidR="00973B16" w:rsidRPr="00670221" w:rsidRDefault="00973B16" w:rsidP="00973B16">
              <w:pPr>
                <w:rPr>
                  <w:lang w:val="en-US"/>
                </w:rPr>
              </w:pPr>
              <w:r w:rsidRPr="00670221">
                <w:rPr>
                  <w:lang w:val="en-US"/>
                </w:rPr>
                <w:t xml:space="preserve">European Commission. (2024). </w:t>
              </w:r>
              <w:r w:rsidRPr="00670221">
                <w:rPr>
                  <w:i/>
                  <w:iCs/>
                  <w:lang w:val="en-US"/>
                </w:rPr>
                <w:t>Horizon Europe.</w:t>
              </w:r>
              <w:r w:rsidRPr="00670221">
                <w:rPr>
                  <w:lang w:val="en-US"/>
                </w:rPr>
                <w:t xml:space="preserve"> Research and Innovation. </w:t>
              </w:r>
              <w:hyperlink r:id="rId83" w:history="1">
                <w:r w:rsidRPr="00670221">
                  <w:rPr>
                    <w:rStyle w:val="Hyperlink"/>
                    <w:lang w:val="en-US"/>
                  </w:rPr>
                  <w:t>https://research-and-innovation.ec.europa.eu/funding/funding-opportunities/funding-programmes-and-open-calls/horizon-europe_en</w:t>
                </w:r>
              </w:hyperlink>
            </w:p>
            <w:p w14:paraId="15771E02" w14:textId="027E4AA8" w:rsidR="003B6776" w:rsidRPr="00670221" w:rsidRDefault="003B6776" w:rsidP="003B6776">
              <w:pPr>
                <w:rPr>
                  <w:lang w:val="en-US"/>
                </w:rPr>
              </w:pPr>
              <w:r w:rsidRPr="00670221">
                <w:rPr>
                  <w:lang w:val="en-US"/>
                </w:rPr>
                <w:t xml:space="preserve">European Commission. (n.d.). </w:t>
              </w:r>
              <w:r w:rsidRPr="00670221">
                <w:rPr>
                  <w:i/>
                  <w:iCs/>
                  <w:lang w:val="en-US"/>
                </w:rPr>
                <w:t>EU Emissions Trading System (EU ETS).</w:t>
              </w:r>
              <w:r w:rsidRPr="00670221">
                <w:rPr>
                  <w:lang w:val="en-US"/>
                </w:rPr>
                <w:t xml:space="preserve"> Climate Action. </w:t>
              </w:r>
              <w:hyperlink r:id="rId84" w:history="1">
                <w:r w:rsidRPr="00670221">
                  <w:rPr>
                    <w:rStyle w:val="Hyperlink"/>
                    <w:lang w:val="en-US"/>
                  </w:rPr>
                  <w:t>https://climate.ec.europa.eu/eu-action/eu-emissions-trading-system-eu-ets_en</w:t>
                </w:r>
              </w:hyperlink>
            </w:p>
            <w:p w14:paraId="3067A07A" w14:textId="08E4CD1C" w:rsidR="0035583B" w:rsidRPr="00670221" w:rsidRDefault="0035583B" w:rsidP="003B6776">
              <w:pPr>
                <w:rPr>
                  <w:lang w:val="en-US"/>
                </w:rPr>
              </w:pPr>
              <w:r w:rsidRPr="00670221">
                <w:rPr>
                  <w:lang w:val="en-US"/>
                </w:rPr>
                <w:t xml:space="preserve">European Commission. (n.d.) </w:t>
              </w:r>
              <w:r w:rsidRPr="00670221">
                <w:rPr>
                  <w:i/>
                  <w:iCs/>
                  <w:lang w:val="en-US"/>
                </w:rPr>
                <w:t>Innovation Fund</w:t>
              </w:r>
              <w:r w:rsidRPr="00670221">
                <w:rPr>
                  <w:lang w:val="en-US"/>
                </w:rPr>
                <w:t xml:space="preserve">. Climate Action. </w:t>
              </w:r>
              <w:hyperlink r:id="rId85" w:history="1">
                <w:r w:rsidRPr="00670221">
                  <w:rPr>
                    <w:rStyle w:val="Hyperlink"/>
                    <w:lang w:val="en-US"/>
                  </w:rPr>
                  <w:t>https://climate.ec.europa.eu/eu-action/eu-funding-climate-action/innovation-fund_en</w:t>
                </w:r>
              </w:hyperlink>
            </w:p>
            <w:p w14:paraId="15C7011B" w14:textId="181000E6" w:rsidR="003B6776" w:rsidRPr="00670221" w:rsidRDefault="003B6776" w:rsidP="003B6776">
              <w:pPr>
                <w:rPr>
                  <w:lang w:val="en-US"/>
                </w:rPr>
              </w:pPr>
              <w:r w:rsidRPr="00670221">
                <w:rPr>
                  <w:lang w:val="en-US"/>
                </w:rPr>
                <w:t xml:space="preserve">European Commission. (n.d.) </w:t>
              </w:r>
              <w:proofErr w:type="spellStart"/>
              <w:r w:rsidRPr="00670221">
                <w:rPr>
                  <w:i/>
                  <w:iCs/>
                  <w:lang w:val="en-US"/>
                </w:rPr>
                <w:t>ReFuelEU</w:t>
              </w:r>
              <w:proofErr w:type="spellEnd"/>
              <w:r w:rsidRPr="00670221">
                <w:rPr>
                  <w:i/>
                  <w:iCs/>
                  <w:lang w:val="en-US"/>
                </w:rPr>
                <w:t xml:space="preserve"> Aviation.</w:t>
              </w:r>
              <w:r w:rsidRPr="00670221">
                <w:rPr>
                  <w:lang w:val="en-US"/>
                </w:rPr>
                <w:t xml:space="preserve"> Mobility and Transport. </w:t>
              </w:r>
              <w:hyperlink r:id="rId86" w:history="1">
                <w:r w:rsidRPr="00670221">
                  <w:rPr>
                    <w:rStyle w:val="Hyperlink"/>
                    <w:lang w:val="en-US"/>
                  </w:rPr>
                  <w:t>https://transport.ec.europa.eu/transport-modes/air/environment/refueleu-aviation_en</w:t>
                </w:r>
              </w:hyperlink>
            </w:p>
            <w:p w14:paraId="38DB84F6" w14:textId="15DBB106" w:rsidR="00794677" w:rsidRPr="00670221" w:rsidRDefault="00794677" w:rsidP="00A85394">
              <w:pPr>
                <w:rPr>
                  <w:lang w:val="en-US"/>
                </w:rPr>
              </w:pPr>
              <w:r w:rsidRPr="00670221">
                <w:rPr>
                  <w:lang w:val="en-US"/>
                </w:rPr>
                <w:t xml:space="preserve">European Commission &amp; Directorate-General for Energy. (2023). REPORT FROM THE COMMISSION TO THE EUROPEAN PARLIAMENT, THE COUNCIL, THE EUROPEAN ECONOMIC AND SOCIAL COMMITTEE AND THE COMMITTEE OF THE REGIONS State of the Energy Union Report 2023. In </w:t>
              </w:r>
              <w:r w:rsidRPr="00670221">
                <w:rPr>
                  <w:i/>
                  <w:iCs/>
                  <w:lang w:val="en-US"/>
                </w:rPr>
                <w:t>europa.eu.</w:t>
              </w:r>
              <w:r w:rsidRPr="00670221">
                <w:rPr>
                  <w:lang w:val="en-US"/>
                </w:rPr>
                <w:t xml:space="preserve"> </w:t>
              </w:r>
              <w:hyperlink r:id="rId87" w:history="1">
                <w:r w:rsidRPr="00670221">
                  <w:rPr>
                    <w:rStyle w:val="Hyperlink"/>
                    <w:lang w:val="en-US"/>
                  </w:rPr>
                  <w:t>https://eur-lex.europa.eu/legal-content/EN/ALL/?uri=CELEX:52023DC0650</w:t>
                </w:r>
              </w:hyperlink>
            </w:p>
            <w:p w14:paraId="5C04E430" w14:textId="6EF7F0BD" w:rsidR="00FC6766" w:rsidRPr="00670221" w:rsidRDefault="00FC6766" w:rsidP="00A85394">
              <w:pPr>
                <w:rPr>
                  <w:lang w:val="en-US"/>
                </w:rPr>
              </w:pPr>
              <w:r w:rsidRPr="00670221">
                <w:rPr>
                  <w:lang w:val="en-US"/>
                </w:rPr>
                <w:t xml:space="preserve">European Commission, Joint Research Centre, </w:t>
              </w:r>
              <w:proofErr w:type="spellStart"/>
              <w:r w:rsidRPr="00670221">
                <w:rPr>
                  <w:lang w:val="en-US"/>
                </w:rPr>
                <w:t>Tumara</w:t>
              </w:r>
              <w:proofErr w:type="spellEnd"/>
              <w:r w:rsidRPr="00670221">
                <w:rPr>
                  <w:lang w:val="en-US"/>
                </w:rPr>
                <w:t xml:space="preserve">, D., Uihlein, A., &amp; Hidalgo Gonzalez, I. (2024). </w:t>
              </w:r>
              <w:r w:rsidRPr="00670221">
                <w:rPr>
                  <w:i/>
                  <w:iCs/>
                  <w:lang w:val="en-US"/>
                </w:rPr>
                <w:t xml:space="preserve">Shaping the future CO₂ transport network for Europe </w:t>
              </w:r>
              <w:r w:rsidRPr="00670221">
                <w:rPr>
                  <w:lang w:val="en-US"/>
                </w:rPr>
                <w:t xml:space="preserve">(JRC136709). Publications Office of the European Union. </w:t>
              </w:r>
              <w:hyperlink r:id="rId88" w:history="1">
                <w:r w:rsidRPr="00670221">
                  <w:rPr>
                    <w:rStyle w:val="Hyperlink"/>
                    <w:lang w:val="en-US"/>
                  </w:rPr>
                  <w:t>https://doi.org/10.2760/582433</w:t>
                </w:r>
              </w:hyperlink>
            </w:p>
            <w:p w14:paraId="3152F3BA" w14:textId="20E7145C" w:rsidR="00A85394" w:rsidRPr="00670221" w:rsidRDefault="00A85394" w:rsidP="00A85394">
              <w:pPr>
                <w:rPr>
                  <w:lang w:val="en-US"/>
                </w:rPr>
              </w:pPr>
              <w:r w:rsidRPr="00670221">
                <w:rPr>
                  <w:lang w:val="en-US"/>
                </w:rPr>
                <w:t xml:space="preserve">European Parlement. (2022). </w:t>
              </w:r>
              <w:r w:rsidRPr="00670221">
                <w:rPr>
                  <w:i/>
                  <w:iCs/>
                  <w:lang w:val="en-US"/>
                </w:rPr>
                <w:t>Amendments adopted by the European Parliament on 7 July 2022 on the proposal for a regulation of the European Parliament and of the Council On Ensuring a level playing field for Sustainable Air Transport (</w:t>
              </w:r>
              <w:proofErr w:type="gramStart"/>
              <w:r w:rsidRPr="00670221">
                <w:rPr>
                  <w:i/>
                  <w:iCs/>
                  <w:lang w:val="en-US"/>
                </w:rPr>
                <w:t>COM(</w:t>
              </w:r>
              <w:proofErr w:type="gramEnd"/>
              <w:r w:rsidRPr="00670221">
                <w:rPr>
                  <w:i/>
                  <w:iCs/>
                  <w:lang w:val="en-US"/>
                </w:rPr>
                <w:t>2021)0561 – C9-0332/2021 – 2021/0205(COD))</w:t>
              </w:r>
              <w:r w:rsidRPr="00670221">
                <w:rPr>
                  <w:lang w:val="en-US"/>
                </w:rPr>
                <w:t>. europarl.europa.eu.</w:t>
              </w:r>
              <w:r w:rsidR="00D167FD" w:rsidRPr="00670221">
                <w:rPr>
                  <w:lang w:val="en-US"/>
                </w:rPr>
                <w:t xml:space="preserve"> </w:t>
              </w:r>
              <w:hyperlink r:id="rId89" w:history="1">
                <w:r w:rsidR="00D167FD" w:rsidRPr="00670221">
                  <w:rPr>
                    <w:rStyle w:val="Hyperlink"/>
                    <w:lang w:val="en-US"/>
                  </w:rPr>
                  <w:t>https://www.europarl.europa.eu/doceo/document/TA-9-2022-0297_EN.html</w:t>
                </w:r>
              </w:hyperlink>
            </w:p>
            <w:p w14:paraId="46E0433A" w14:textId="5DD9F9B6" w:rsidR="001A0EF9" w:rsidRPr="00670221" w:rsidRDefault="001A0EF9" w:rsidP="00A85394">
              <w:pPr>
                <w:rPr>
                  <w:lang w:val="en-US"/>
                </w:rPr>
              </w:pPr>
              <w:r w:rsidRPr="00670221">
                <w:rPr>
                  <w:lang w:val="en-US"/>
                </w:rPr>
                <w:t xml:space="preserve">European Union. (2024). </w:t>
              </w:r>
              <w:r w:rsidRPr="00670221">
                <w:rPr>
                  <w:i/>
                  <w:iCs/>
                  <w:lang w:val="en-US"/>
                </w:rPr>
                <w:t>Invest EU.</w:t>
              </w:r>
              <w:r w:rsidRPr="00670221">
                <w:rPr>
                  <w:lang w:val="en-US"/>
                </w:rPr>
                <w:t xml:space="preserve"> </w:t>
              </w:r>
              <w:proofErr w:type="spellStart"/>
              <w:r w:rsidRPr="00670221">
                <w:rPr>
                  <w:lang w:val="en-US"/>
                </w:rPr>
                <w:t>InvestEU</w:t>
              </w:r>
              <w:proofErr w:type="spellEnd"/>
              <w:r w:rsidRPr="00670221">
                <w:rPr>
                  <w:lang w:val="en-US"/>
                </w:rPr>
                <w:t xml:space="preserve">. </w:t>
              </w:r>
              <w:hyperlink r:id="rId90" w:history="1">
                <w:r w:rsidRPr="00670221">
                  <w:rPr>
                    <w:rStyle w:val="Hyperlink"/>
                    <w:lang w:val="en-US"/>
                  </w:rPr>
                  <w:t>https://investeu.europa.eu/index_en</w:t>
                </w:r>
              </w:hyperlink>
            </w:p>
            <w:p w14:paraId="2C94221C" w14:textId="00D6AE10" w:rsidR="00A10612" w:rsidRPr="00670221" w:rsidRDefault="00A10612" w:rsidP="00A85394">
              <w:pPr>
                <w:rPr>
                  <w:lang w:val="en-US"/>
                </w:rPr>
              </w:pPr>
              <w:r w:rsidRPr="00670221">
                <w:rPr>
                  <w:lang w:val="en-US"/>
                </w:rPr>
                <w:t xml:space="preserve">European Union Aviation Safety Agency. (2022). </w:t>
              </w:r>
              <w:r w:rsidRPr="00670221">
                <w:rPr>
                  <w:i/>
                  <w:iCs/>
                  <w:lang w:val="en-US"/>
                </w:rPr>
                <w:t>EUROPEAN AVIATION ENVIRONMENTAL REPORT 2022</w:t>
              </w:r>
              <w:r w:rsidRPr="00670221">
                <w:rPr>
                  <w:lang w:val="en-US"/>
                </w:rPr>
                <w:t xml:space="preserve">. </w:t>
              </w:r>
              <w:hyperlink r:id="rId91" w:history="1">
                <w:r w:rsidRPr="00670221">
                  <w:rPr>
                    <w:rStyle w:val="Hyperlink"/>
                    <w:lang w:val="en-US"/>
                  </w:rPr>
                  <w:t>https://doi.org/10.2822/309946</w:t>
                </w:r>
              </w:hyperlink>
            </w:p>
            <w:p w14:paraId="691D07BE" w14:textId="10F89C62" w:rsidR="003F153D" w:rsidRPr="00670221" w:rsidRDefault="003F153D" w:rsidP="00A85394">
              <w:pPr>
                <w:rPr>
                  <w:lang w:val="en-US"/>
                </w:rPr>
              </w:pPr>
              <w:proofErr w:type="spellStart"/>
              <w:r w:rsidRPr="00670221">
                <w:rPr>
                  <w:lang w:val="en-US"/>
                </w:rPr>
                <w:t>Eyberg</w:t>
              </w:r>
              <w:proofErr w:type="spellEnd"/>
              <w:r w:rsidRPr="00670221">
                <w:rPr>
                  <w:lang w:val="en-US"/>
                </w:rPr>
                <w:t xml:space="preserve">, V., Dieterich, V., </w:t>
              </w:r>
              <w:proofErr w:type="spellStart"/>
              <w:r w:rsidRPr="00670221">
                <w:rPr>
                  <w:lang w:val="en-US"/>
                </w:rPr>
                <w:t>Bastek</w:t>
              </w:r>
              <w:proofErr w:type="spellEnd"/>
              <w:r w:rsidRPr="00670221">
                <w:rPr>
                  <w:lang w:val="en-US"/>
                </w:rPr>
                <w:t xml:space="preserve">, S., </w:t>
              </w:r>
              <w:proofErr w:type="spellStart"/>
              <w:r w:rsidRPr="00670221">
                <w:rPr>
                  <w:lang w:val="en-US"/>
                </w:rPr>
                <w:t>Dossow</w:t>
              </w:r>
              <w:proofErr w:type="spellEnd"/>
              <w:r w:rsidRPr="00670221">
                <w:rPr>
                  <w:lang w:val="en-US"/>
                </w:rPr>
                <w:t xml:space="preserve">, M., </w:t>
              </w:r>
              <w:proofErr w:type="spellStart"/>
              <w:r w:rsidRPr="00670221">
                <w:rPr>
                  <w:lang w:val="en-US"/>
                </w:rPr>
                <w:t>Spliethoff</w:t>
              </w:r>
              <w:proofErr w:type="spellEnd"/>
              <w:r w:rsidRPr="00670221">
                <w:rPr>
                  <w:lang w:val="en-US"/>
                </w:rPr>
                <w:t>, H., &amp; Fendt, S. (2024). Techno-economic assessment and comparison of Fischer–</w:t>
              </w:r>
              <w:proofErr w:type="spellStart"/>
              <w:r w:rsidRPr="00670221">
                <w:rPr>
                  <w:lang w:val="en-US"/>
                </w:rPr>
                <w:t>Tropsch</w:t>
              </w:r>
              <w:proofErr w:type="spellEnd"/>
              <w:r w:rsidRPr="00670221">
                <w:rPr>
                  <w:lang w:val="en-US"/>
                </w:rPr>
                <w:t xml:space="preserve"> and Methanol-to-Jet processes to produce sustainable aviation fuel via Power-to-Liquid. </w:t>
              </w:r>
              <w:r w:rsidRPr="00670221">
                <w:rPr>
                  <w:i/>
                  <w:iCs/>
                  <w:lang w:val="en-US"/>
                </w:rPr>
                <w:t>Energy Conversion and Management, 315</w:t>
              </w:r>
              <w:r w:rsidRPr="00670221">
                <w:rPr>
                  <w:lang w:val="en-US"/>
                </w:rPr>
                <w:t xml:space="preserve">, 118728. </w:t>
              </w:r>
              <w:hyperlink r:id="rId92" w:history="1">
                <w:r w:rsidRPr="00670221">
                  <w:rPr>
                    <w:rStyle w:val="Hyperlink"/>
                    <w:lang w:val="en-US"/>
                  </w:rPr>
                  <w:t>https://doi.org/10.1016/j.enconman.2024.118728</w:t>
                </w:r>
              </w:hyperlink>
            </w:p>
            <w:p w14:paraId="565D0235" w14:textId="74E3FAE5" w:rsidR="00A85394" w:rsidRPr="00670221" w:rsidRDefault="00A85394" w:rsidP="00A85394">
              <w:pPr>
                <w:rPr>
                  <w:lang w:val="en-US"/>
                </w:rPr>
              </w:pPr>
              <w:proofErr w:type="spellStart"/>
              <w:r w:rsidRPr="00670221">
                <w:rPr>
                  <w:lang w:val="en-US"/>
                </w:rPr>
                <w:lastRenderedPageBreak/>
                <w:t>Fajardy</w:t>
              </w:r>
              <w:proofErr w:type="spellEnd"/>
              <w:r w:rsidRPr="00670221">
                <w:rPr>
                  <w:lang w:val="en-US"/>
                </w:rPr>
                <w:t xml:space="preserve">, M., &amp; Mac Dowell, N. (2017). Can BECCS deliver sustainable and resource efficient negative emissions? </w:t>
              </w:r>
              <w:r w:rsidRPr="00670221">
                <w:rPr>
                  <w:i/>
                  <w:iCs/>
                  <w:lang w:val="en-US"/>
                </w:rPr>
                <w:t>Energy and Environmental Science</w:t>
              </w:r>
              <w:r w:rsidRPr="00670221">
                <w:rPr>
                  <w:lang w:val="en-US"/>
                </w:rPr>
                <w:t xml:space="preserve">, </w:t>
              </w:r>
              <w:r w:rsidRPr="00670221">
                <w:rPr>
                  <w:i/>
                  <w:iCs/>
                  <w:lang w:val="en-US"/>
                </w:rPr>
                <w:t>10</w:t>
              </w:r>
              <w:r w:rsidRPr="00670221">
                <w:rPr>
                  <w:lang w:val="en-US"/>
                </w:rPr>
                <w:t xml:space="preserve">(6), 1389–1426. </w:t>
              </w:r>
              <w:hyperlink r:id="rId93" w:history="1">
                <w:r w:rsidRPr="00670221">
                  <w:rPr>
                    <w:rStyle w:val="Hyperlink"/>
                    <w:lang w:val="en-US"/>
                  </w:rPr>
                  <w:t>https://doi.org/10.1039/c7ee00465f</w:t>
                </w:r>
              </w:hyperlink>
            </w:p>
            <w:p w14:paraId="5E5CF826" w14:textId="4157289A" w:rsidR="0025589F" w:rsidRPr="00670221" w:rsidRDefault="0025589F" w:rsidP="00A85394">
              <w:pPr>
                <w:rPr>
                  <w:lang w:val="en-US"/>
                </w:rPr>
              </w:pPr>
              <w:r w:rsidRPr="00670221">
                <w:rPr>
                  <w:lang w:val="en-US"/>
                </w:rPr>
                <w:t xml:space="preserve">Farmer, J. D., &amp; Lafond, F. (2016). How predictable is technological progress? </w:t>
              </w:r>
              <w:r w:rsidRPr="00670221">
                <w:rPr>
                  <w:i/>
                  <w:iCs/>
                  <w:lang w:val="en-US"/>
                </w:rPr>
                <w:t>Research Policy, 45</w:t>
              </w:r>
              <w:r w:rsidRPr="00670221">
                <w:rPr>
                  <w:lang w:val="en-US"/>
                </w:rPr>
                <w:t xml:space="preserve">(3), 647–665. </w:t>
              </w:r>
              <w:hyperlink r:id="rId94" w:history="1">
                <w:r w:rsidRPr="00670221">
                  <w:rPr>
                    <w:rStyle w:val="Hyperlink"/>
                    <w:lang w:val="en-US"/>
                  </w:rPr>
                  <w:t>https://doi.org/10.1016/j.respol.2015.11.001</w:t>
                </w:r>
              </w:hyperlink>
            </w:p>
            <w:p w14:paraId="6B2506BE" w14:textId="5A33399F" w:rsidR="009962A3" w:rsidRPr="00670221" w:rsidRDefault="009962A3" w:rsidP="00A85394">
              <w:pPr>
                <w:rPr>
                  <w:lang w:val="en-US"/>
                </w:rPr>
              </w:pPr>
              <w:r w:rsidRPr="00670221">
                <w:rPr>
                  <w:lang w:val="en-US"/>
                </w:rPr>
                <w:t xml:space="preserve">Federal Aviation Administration. (2020). </w:t>
              </w:r>
              <w:r w:rsidRPr="00670221">
                <w:rPr>
                  <w:i/>
                  <w:iCs/>
                  <w:lang w:val="en-US"/>
                </w:rPr>
                <w:t>Engine Fuel and Control - Semi-Synthetic Jet Fuel</w:t>
              </w:r>
              <w:r w:rsidRPr="00670221">
                <w:rPr>
                  <w:lang w:val="en-US"/>
                </w:rPr>
                <w:t xml:space="preserve">. FAA Aviation Safety. </w:t>
              </w:r>
              <w:hyperlink r:id="rId95" w:history="1">
                <w:r w:rsidRPr="00670221">
                  <w:rPr>
                    <w:rStyle w:val="Hyperlink"/>
                    <w:lang w:val="en-US"/>
                  </w:rPr>
                  <w:t>https://www.avfuel.com/Portals/0/SAF%20SAIB.pdf</w:t>
                </w:r>
              </w:hyperlink>
            </w:p>
            <w:p w14:paraId="492A8AB6" w14:textId="1797433C" w:rsidR="00A85394" w:rsidRPr="00670221" w:rsidRDefault="009962A3" w:rsidP="00A85394">
              <w:pPr>
                <w:rPr>
                  <w:lang w:val="en-US"/>
                </w:rPr>
              </w:pPr>
              <w:r w:rsidRPr="00670221">
                <w:rPr>
                  <w:lang w:val="en-US"/>
                </w:rPr>
                <w:t xml:space="preserve"> </w:t>
              </w:r>
              <w:r w:rsidR="00A85394" w:rsidRPr="00670221">
                <w:rPr>
                  <w:lang w:val="en-US"/>
                </w:rPr>
                <w:t xml:space="preserve">Fiorini, A. C. O., </w:t>
              </w:r>
              <w:proofErr w:type="spellStart"/>
              <w:r w:rsidR="00A85394" w:rsidRPr="00670221">
                <w:rPr>
                  <w:lang w:val="en-US"/>
                </w:rPr>
                <w:t>Angelkorte</w:t>
              </w:r>
              <w:proofErr w:type="spellEnd"/>
              <w:r w:rsidR="00A85394" w:rsidRPr="00670221">
                <w:rPr>
                  <w:lang w:val="en-US"/>
                </w:rPr>
                <w:t xml:space="preserve">, G. B., Portugal‐Pereira, J., Bergman-Fonte, C., De Souza Vicente, C., Morais, T. N., Carvalho, L. S., </w:t>
              </w:r>
              <w:proofErr w:type="spellStart"/>
              <w:r w:rsidR="00A85394" w:rsidRPr="00670221">
                <w:rPr>
                  <w:lang w:val="en-US"/>
                </w:rPr>
                <w:t>Zanon-Zotin</w:t>
              </w:r>
              <w:proofErr w:type="spellEnd"/>
              <w:r w:rsidR="00A85394" w:rsidRPr="00670221">
                <w:rPr>
                  <w:lang w:val="en-US"/>
                </w:rPr>
                <w:t xml:space="preserve">, M., </w:t>
              </w:r>
              <w:proofErr w:type="spellStart"/>
              <w:r w:rsidR="00A85394" w:rsidRPr="00670221">
                <w:rPr>
                  <w:lang w:val="en-US"/>
                </w:rPr>
                <w:t>Szklo</w:t>
              </w:r>
              <w:proofErr w:type="spellEnd"/>
              <w:r w:rsidR="00A85394" w:rsidRPr="00670221">
                <w:rPr>
                  <w:lang w:val="en-US"/>
                </w:rPr>
                <w:t xml:space="preserve">, A., Schaeffer, R., &amp; Portugal-Pereira, J. (2023). Sustainable aviation fuels must control induced land use change: an integrated assessment modelling exercise for Brazil. </w:t>
              </w:r>
              <w:r w:rsidR="00A85394" w:rsidRPr="00670221">
                <w:rPr>
                  <w:i/>
                  <w:iCs/>
                  <w:lang w:val="en-US"/>
                </w:rPr>
                <w:t>Environmental Research Letters</w:t>
              </w:r>
              <w:r w:rsidR="00A85394" w:rsidRPr="00670221">
                <w:rPr>
                  <w:lang w:val="en-US"/>
                </w:rPr>
                <w:t xml:space="preserve">, </w:t>
              </w:r>
              <w:r w:rsidR="00A85394" w:rsidRPr="00670221">
                <w:rPr>
                  <w:i/>
                  <w:iCs/>
                  <w:lang w:val="en-US"/>
                </w:rPr>
                <w:t>18</w:t>
              </w:r>
              <w:r w:rsidR="00A85394" w:rsidRPr="00670221">
                <w:rPr>
                  <w:lang w:val="en-US"/>
                </w:rPr>
                <w:t xml:space="preserve">(1), 014036. </w:t>
              </w:r>
              <w:hyperlink r:id="rId96" w:history="1">
                <w:r w:rsidR="00A85394" w:rsidRPr="00670221">
                  <w:rPr>
                    <w:rStyle w:val="Hyperlink"/>
                    <w:lang w:val="en-US"/>
                  </w:rPr>
                  <w:t>https://doi.org/10.1088/1748-9326/acaee1</w:t>
                </w:r>
              </w:hyperlink>
            </w:p>
            <w:p w14:paraId="138EF2B1" w14:textId="01C3336A" w:rsidR="000F0800" w:rsidRPr="00670221" w:rsidRDefault="000F0800" w:rsidP="00A85394">
              <w:pPr>
                <w:rPr>
                  <w:lang w:val="en-US"/>
                </w:rPr>
              </w:pPr>
              <w:r w:rsidRPr="00670221">
                <w:rPr>
                  <w:lang w:val="en-US"/>
                </w:rPr>
                <w:t>Franc-</w:t>
              </w:r>
              <w:proofErr w:type="spellStart"/>
              <w:r w:rsidRPr="00670221">
                <w:rPr>
                  <w:lang w:val="en-US"/>
                </w:rPr>
                <w:t>Dąbrowska</w:t>
              </w:r>
              <w:proofErr w:type="spellEnd"/>
              <w:r w:rsidRPr="00670221">
                <w:rPr>
                  <w:lang w:val="en-US"/>
                </w:rPr>
                <w:t xml:space="preserve">, J., </w:t>
              </w:r>
              <w:proofErr w:type="spellStart"/>
              <w:r w:rsidRPr="00670221">
                <w:rPr>
                  <w:lang w:val="en-US"/>
                </w:rPr>
                <w:t>Mądra-Sawicka</w:t>
              </w:r>
              <w:proofErr w:type="spellEnd"/>
              <w:r w:rsidRPr="00670221">
                <w:rPr>
                  <w:lang w:val="en-US"/>
                </w:rPr>
                <w:t xml:space="preserve">, M., &amp; </w:t>
              </w:r>
              <w:proofErr w:type="spellStart"/>
              <w:r w:rsidRPr="00670221">
                <w:rPr>
                  <w:lang w:val="en-US"/>
                </w:rPr>
                <w:t>Milewska</w:t>
              </w:r>
              <w:proofErr w:type="spellEnd"/>
              <w:r w:rsidRPr="00670221">
                <w:rPr>
                  <w:lang w:val="en-US"/>
                </w:rPr>
                <w:t xml:space="preserve">, A. (2021). Energy Sector Risk and Cost of Capital Assessment—Companies and Investors Perspective. </w:t>
              </w:r>
              <w:r w:rsidRPr="00670221">
                <w:rPr>
                  <w:i/>
                  <w:iCs/>
                  <w:lang w:val="en-US"/>
                </w:rPr>
                <w:t>Energies, 14</w:t>
              </w:r>
              <w:r w:rsidRPr="00670221">
                <w:rPr>
                  <w:lang w:val="en-US"/>
                </w:rPr>
                <w:t xml:space="preserve">(6), 1613. </w:t>
              </w:r>
              <w:hyperlink r:id="rId97" w:history="1">
                <w:r w:rsidRPr="00670221">
                  <w:rPr>
                    <w:rStyle w:val="Hyperlink"/>
                    <w:lang w:val="en-US"/>
                  </w:rPr>
                  <w:t>https://doi.org/10.3390/en14061613</w:t>
                </w:r>
              </w:hyperlink>
            </w:p>
            <w:p w14:paraId="001851B2" w14:textId="51285698" w:rsidR="00A85394" w:rsidRPr="00670221" w:rsidRDefault="00A85394" w:rsidP="00A85394">
              <w:pPr>
                <w:rPr>
                  <w:lang w:val="en-US"/>
                </w:rPr>
              </w:pPr>
              <w:r w:rsidRPr="00670221">
                <w:rPr>
                  <w:lang w:val="en-US"/>
                </w:rPr>
                <w:t xml:space="preserve">Franco, A., &amp; Giovannini, C. (2023). Routes for Hydrogen Introduction in the Industrial Hard-to-Abate Sectors for Promoting Energy Transition. </w:t>
              </w:r>
              <w:r w:rsidRPr="00670221">
                <w:rPr>
                  <w:i/>
                  <w:iCs/>
                  <w:lang w:val="en-US"/>
                </w:rPr>
                <w:t>Energies</w:t>
              </w:r>
              <w:r w:rsidRPr="00670221">
                <w:rPr>
                  <w:lang w:val="en-US"/>
                </w:rPr>
                <w:t xml:space="preserve">. </w:t>
              </w:r>
              <w:hyperlink r:id="rId98" w:history="1">
                <w:r w:rsidRPr="00670221">
                  <w:rPr>
                    <w:rStyle w:val="Hyperlink"/>
                    <w:lang w:val="en-US"/>
                  </w:rPr>
                  <w:t>https://doi.org/10.20944/preprints202307.1419.v1</w:t>
                </w:r>
              </w:hyperlink>
            </w:p>
            <w:p w14:paraId="773A5CAD" w14:textId="69155349" w:rsidR="00487851" w:rsidRPr="00670221" w:rsidRDefault="00487851" w:rsidP="00A85394">
              <w:pPr>
                <w:rPr>
                  <w:lang w:val="en-US"/>
                </w:rPr>
              </w:pPr>
              <w:r w:rsidRPr="00670221">
                <w:rPr>
                  <w:lang w:val="en-US"/>
                </w:rPr>
                <w:t xml:space="preserve">Geels, F. W. (2002). Technological transitions as evolutionary reconfiguration processes: a multi-level perspective and a case-study. </w:t>
              </w:r>
              <w:r w:rsidRPr="00670221">
                <w:rPr>
                  <w:i/>
                  <w:iCs/>
                  <w:lang w:val="en-US"/>
                </w:rPr>
                <w:t>Research Policy, 31</w:t>
              </w:r>
              <w:r w:rsidRPr="00670221">
                <w:rPr>
                  <w:lang w:val="en-US"/>
                </w:rPr>
                <w:t xml:space="preserve">(8–9), 1257–1274. </w:t>
              </w:r>
              <w:hyperlink r:id="rId99" w:history="1">
                <w:r w:rsidRPr="00670221">
                  <w:rPr>
                    <w:rStyle w:val="Hyperlink"/>
                    <w:lang w:val="en-US"/>
                  </w:rPr>
                  <w:t>https://doi.org/10.1016/s0048-7333(02)00062-8</w:t>
                </w:r>
              </w:hyperlink>
            </w:p>
            <w:p w14:paraId="5D2F548A" w14:textId="6A77F398" w:rsidR="00BE7601" w:rsidRPr="00670221" w:rsidRDefault="00BE7601" w:rsidP="00A85394">
              <w:pPr>
                <w:rPr>
                  <w:lang w:val="en-US"/>
                </w:rPr>
              </w:pPr>
              <w:r w:rsidRPr="00670221">
                <w:rPr>
                  <w:lang w:val="en-US"/>
                </w:rPr>
                <w:t xml:space="preserve">Grimme, W. (2023). The Introduction of Sustainable Aviation Fuels—A discussion of challenges, options and Alternatives. </w:t>
              </w:r>
              <w:r w:rsidRPr="00670221">
                <w:rPr>
                  <w:i/>
                  <w:iCs/>
                  <w:lang w:val="en-US"/>
                </w:rPr>
                <w:t>Aerospace, 10</w:t>
              </w:r>
              <w:r w:rsidRPr="00670221">
                <w:rPr>
                  <w:lang w:val="en-US"/>
                </w:rPr>
                <w:t xml:space="preserve">(3), 218. </w:t>
              </w:r>
              <w:hyperlink r:id="rId100" w:history="1">
                <w:r w:rsidRPr="00670221">
                  <w:rPr>
                    <w:rStyle w:val="Hyperlink"/>
                    <w:lang w:val="en-US"/>
                  </w:rPr>
                  <w:t>https://doi.org/10.3390/aerospace10030218</w:t>
                </w:r>
              </w:hyperlink>
            </w:p>
            <w:p w14:paraId="17045CB9" w14:textId="52CA6CA5" w:rsidR="005C1A50" w:rsidRPr="00670221" w:rsidRDefault="005C1A50" w:rsidP="00A85394">
              <w:pPr>
                <w:rPr>
                  <w:lang w:val="en-US"/>
                </w:rPr>
              </w:pPr>
              <w:proofErr w:type="spellStart"/>
              <w:r w:rsidRPr="00670221">
                <w:rPr>
                  <w:lang w:val="en-US"/>
                </w:rPr>
                <w:t>Habermeyer</w:t>
              </w:r>
              <w:proofErr w:type="spellEnd"/>
              <w:r w:rsidRPr="00670221">
                <w:rPr>
                  <w:lang w:val="en-US"/>
                </w:rPr>
                <w:t xml:space="preserve">, F., Weyand, J., Maier, S., </w:t>
              </w:r>
              <w:proofErr w:type="spellStart"/>
              <w:r w:rsidRPr="00670221">
                <w:rPr>
                  <w:lang w:val="en-US"/>
                </w:rPr>
                <w:t>Kurkela</w:t>
              </w:r>
              <w:proofErr w:type="spellEnd"/>
              <w:r w:rsidRPr="00670221">
                <w:rPr>
                  <w:lang w:val="en-US"/>
                </w:rPr>
                <w:t>, E., &amp; Dietrich, R. (202</w:t>
              </w:r>
              <w:r w:rsidR="001A5DAF" w:rsidRPr="00670221">
                <w:rPr>
                  <w:lang w:val="en-US"/>
                </w:rPr>
                <w:t>4</w:t>
              </w:r>
              <w:r w:rsidRPr="00670221">
                <w:rPr>
                  <w:lang w:val="en-US"/>
                </w:rPr>
                <w:t xml:space="preserve">). Power Biomass to Liquid — an option for Europe’s sustainable and independent aviation fuel production. </w:t>
              </w:r>
              <w:r w:rsidRPr="00670221">
                <w:rPr>
                  <w:i/>
                  <w:iCs/>
                  <w:lang w:val="en-US"/>
                </w:rPr>
                <w:t>Biomass Conversion and Biorefinery</w:t>
              </w:r>
              <w:r w:rsidRPr="00670221">
                <w:rPr>
                  <w:lang w:val="en-US"/>
                </w:rPr>
                <w:t xml:space="preserve">. </w:t>
              </w:r>
              <w:hyperlink r:id="rId101" w:history="1">
                <w:r w:rsidRPr="00670221">
                  <w:rPr>
                    <w:rStyle w:val="Hyperlink"/>
                    <w:lang w:val="en-US"/>
                  </w:rPr>
                  <w:t>https://doi.org/10.1007/s13399-022-03671-y</w:t>
                </w:r>
              </w:hyperlink>
            </w:p>
            <w:p w14:paraId="6ACCA533" w14:textId="042643FA" w:rsidR="009B63BE" w:rsidRPr="00670221" w:rsidRDefault="009B63BE" w:rsidP="00A85394">
              <w:pPr>
                <w:rPr>
                  <w:lang w:val="en-US"/>
                </w:rPr>
              </w:pPr>
              <w:proofErr w:type="spellStart"/>
              <w:r w:rsidRPr="00670221">
                <w:rPr>
                  <w:lang w:val="en-US"/>
                </w:rPr>
                <w:t>Heiniger</w:t>
              </w:r>
              <w:proofErr w:type="spellEnd"/>
              <w:r w:rsidRPr="00670221">
                <w:rPr>
                  <w:lang w:val="en-US"/>
                </w:rPr>
                <w:t xml:space="preserve">, M., Mistry, H., &amp; Brunner, C. (2024). </w:t>
              </w:r>
              <w:r w:rsidRPr="00670221">
                <w:rPr>
                  <w:i/>
                  <w:iCs/>
                  <w:lang w:val="en-US"/>
                </w:rPr>
                <w:t>Carbon catch-up | Navigating decarbonization in aviation with carbon removal solutions</w:t>
              </w:r>
              <w:r w:rsidRPr="00670221">
                <w:rPr>
                  <w:lang w:val="en-US"/>
                </w:rPr>
                <w:t xml:space="preserve"> [Video]. </w:t>
              </w:r>
              <w:proofErr w:type="spellStart"/>
              <w:r w:rsidRPr="00670221">
                <w:rPr>
                  <w:lang w:val="en-US"/>
                </w:rPr>
                <w:t>Climeworks</w:t>
              </w:r>
              <w:proofErr w:type="spellEnd"/>
              <w:r w:rsidRPr="00670221">
                <w:rPr>
                  <w:lang w:val="en-US"/>
                </w:rPr>
                <w:t xml:space="preserve">. </w:t>
              </w:r>
              <w:hyperlink r:id="rId102" w:history="1">
                <w:r w:rsidRPr="00670221">
                  <w:rPr>
                    <w:rStyle w:val="Hyperlink"/>
                    <w:lang w:val="en-US"/>
                  </w:rPr>
                  <w:t>https://climeworks.com/navigating-decarbonization-in-aviation-with-carbon-removal-solutions</w:t>
                </w:r>
              </w:hyperlink>
            </w:p>
            <w:p w14:paraId="4002CA85" w14:textId="6BEC7EE2" w:rsidR="00A85394" w:rsidRPr="00670221" w:rsidRDefault="00A85394" w:rsidP="00A85394">
              <w:pPr>
                <w:rPr>
                  <w:lang w:val="en-US"/>
                </w:rPr>
              </w:pPr>
              <w:proofErr w:type="spellStart"/>
              <w:r w:rsidRPr="00670221">
                <w:rPr>
                  <w:lang w:val="en-US"/>
                </w:rPr>
                <w:t>Hekkert</w:t>
              </w:r>
              <w:proofErr w:type="spellEnd"/>
              <w:r w:rsidRPr="00670221">
                <w:rPr>
                  <w:lang w:val="en-US"/>
                </w:rPr>
                <w:t xml:space="preserve">, M., Negro, S., </w:t>
              </w:r>
              <w:proofErr w:type="spellStart"/>
              <w:r w:rsidRPr="00670221">
                <w:rPr>
                  <w:lang w:val="en-US"/>
                </w:rPr>
                <w:t>Heimeriks</w:t>
              </w:r>
              <w:proofErr w:type="spellEnd"/>
              <w:r w:rsidRPr="00670221">
                <w:rPr>
                  <w:lang w:val="en-US"/>
                </w:rPr>
                <w:t>, G., &amp; Harmsen, R. (2011). Technological Innovation System Analysis: A manual for analysts. Utrecht University, 16.</w:t>
              </w:r>
            </w:p>
            <w:p w14:paraId="46201447" w14:textId="77777777" w:rsidR="00A85394" w:rsidRPr="00670221" w:rsidRDefault="00A85394" w:rsidP="00A85394">
              <w:pPr>
                <w:rPr>
                  <w:lang w:val="en-US"/>
                </w:rPr>
              </w:pPr>
              <w:proofErr w:type="spellStart"/>
              <w:r w:rsidRPr="00670221">
                <w:rPr>
                  <w:lang w:val="en-US"/>
                </w:rPr>
                <w:t>Hekkert</w:t>
              </w:r>
              <w:proofErr w:type="spellEnd"/>
              <w:r w:rsidRPr="00670221">
                <w:rPr>
                  <w:lang w:val="en-US"/>
                </w:rPr>
                <w:t xml:space="preserve">, M., </w:t>
              </w:r>
              <w:proofErr w:type="spellStart"/>
              <w:r w:rsidRPr="00670221">
                <w:rPr>
                  <w:lang w:val="en-US"/>
                </w:rPr>
                <w:t>Suurs</w:t>
              </w:r>
              <w:proofErr w:type="spellEnd"/>
              <w:r w:rsidRPr="00670221">
                <w:rPr>
                  <w:lang w:val="en-US"/>
                </w:rPr>
                <w:t xml:space="preserve">, R., Negro, S., Kuhlmann, S., &amp; Smits, R. (2007). Functions of innovation systems: A new approach for </w:t>
              </w:r>
              <w:proofErr w:type="spellStart"/>
              <w:r w:rsidRPr="00670221">
                <w:rPr>
                  <w:lang w:val="en-US"/>
                </w:rPr>
                <w:t>analysing</w:t>
              </w:r>
              <w:proofErr w:type="spellEnd"/>
              <w:r w:rsidRPr="00670221">
                <w:rPr>
                  <w:lang w:val="en-US"/>
                </w:rPr>
                <w:t xml:space="preserve"> technological change. </w:t>
              </w:r>
              <w:r w:rsidRPr="00670221">
                <w:rPr>
                  <w:i/>
                  <w:iCs/>
                  <w:lang w:val="en-US"/>
                </w:rPr>
                <w:t>Technological Forecasting &amp; Social Change/Technological Forecasting and Social Change, 74(</w:t>
              </w:r>
              <w:r w:rsidRPr="00670221">
                <w:rPr>
                  <w:lang w:val="en-US"/>
                </w:rPr>
                <w:t xml:space="preserve">4), 413–432. </w:t>
              </w:r>
              <w:hyperlink r:id="rId103" w:history="1">
                <w:r w:rsidRPr="00670221">
                  <w:rPr>
                    <w:rStyle w:val="Hyperlink"/>
                    <w:lang w:val="en-US"/>
                  </w:rPr>
                  <w:t>https://doi.org/10.1016/j.techfore.2006.03.002</w:t>
                </w:r>
              </w:hyperlink>
            </w:p>
            <w:p w14:paraId="57B6C59A" w14:textId="7E399E7E" w:rsidR="00A85394" w:rsidRPr="00670221" w:rsidRDefault="00A85394" w:rsidP="00A85394">
              <w:pPr>
                <w:rPr>
                  <w:rStyle w:val="Hyperlink"/>
                  <w:lang w:val="en-US"/>
                </w:rPr>
              </w:pPr>
              <w:proofErr w:type="spellStart"/>
              <w:r w:rsidRPr="00670221">
                <w:rPr>
                  <w:lang w:val="en-US"/>
                </w:rPr>
                <w:t>Hepperle</w:t>
              </w:r>
              <w:proofErr w:type="spellEnd"/>
              <w:r w:rsidRPr="00670221">
                <w:rPr>
                  <w:lang w:val="en-US"/>
                </w:rPr>
                <w:t xml:space="preserve">, M. (2012). Electric Flight - Potential and Limitations. </w:t>
              </w:r>
              <w:hyperlink r:id="rId104" w:history="1">
                <w:r w:rsidR="00B26B9E" w:rsidRPr="00670221">
                  <w:rPr>
                    <w:rStyle w:val="Hyperlink"/>
                    <w:lang w:val="en-US"/>
                  </w:rPr>
                  <w:t>https://elib.dlr.de/78726/1/MP-AVT-209-09.pdf</w:t>
                </w:r>
              </w:hyperlink>
            </w:p>
            <w:p w14:paraId="0D727DC8" w14:textId="09C01FE4" w:rsidR="0059336E" w:rsidRPr="00670221" w:rsidRDefault="0059336E" w:rsidP="00A85394">
              <w:pPr>
                <w:rPr>
                  <w:lang w:val="en-US"/>
                </w:rPr>
              </w:pPr>
              <w:r w:rsidRPr="00670221">
                <w:rPr>
                  <w:lang w:val="en-US"/>
                </w:rPr>
                <w:t xml:space="preserve">Herz, G., Reichelt, E., &amp; Jahn, M. (2018). Techno-economic analysis of a co-electrolysis-based synthesis process </w:t>
              </w:r>
              <w:proofErr w:type="gramStart"/>
              <w:r w:rsidRPr="00670221">
                <w:rPr>
                  <w:lang w:val="en-US"/>
                </w:rPr>
                <w:t>for the production of</w:t>
              </w:r>
              <w:proofErr w:type="gramEnd"/>
              <w:r w:rsidRPr="00670221">
                <w:rPr>
                  <w:lang w:val="en-US"/>
                </w:rPr>
                <w:t xml:space="preserve"> hydrocarbons. </w:t>
              </w:r>
              <w:r w:rsidRPr="00670221">
                <w:rPr>
                  <w:i/>
                  <w:iCs/>
                  <w:lang w:val="en-US"/>
                </w:rPr>
                <w:t>Applied Energy, 215</w:t>
              </w:r>
              <w:r w:rsidRPr="00670221">
                <w:rPr>
                  <w:lang w:val="en-US"/>
                </w:rPr>
                <w:t xml:space="preserve">, 309–320. </w:t>
              </w:r>
              <w:hyperlink r:id="rId105" w:history="1">
                <w:r w:rsidRPr="00670221">
                  <w:rPr>
                    <w:rStyle w:val="Hyperlink"/>
                    <w:lang w:val="en-US"/>
                  </w:rPr>
                  <w:t>https://doi.org/10.1016/j.apenergy.2018.02.007</w:t>
                </w:r>
              </w:hyperlink>
            </w:p>
            <w:p w14:paraId="72EA245B" w14:textId="1C5A1212" w:rsidR="005E2377" w:rsidRPr="00670221" w:rsidRDefault="005E2377" w:rsidP="00A85394">
              <w:pPr>
                <w:rPr>
                  <w:lang w:val="en-US"/>
                </w:rPr>
              </w:pPr>
              <w:r w:rsidRPr="00670221">
                <w:rPr>
                  <w:lang w:val="en-US"/>
                </w:rPr>
                <w:lastRenderedPageBreak/>
                <w:t xml:space="preserve">Höglund, R. (2024). Removals are better than some reductions - The case of </w:t>
              </w:r>
              <w:proofErr w:type="spellStart"/>
              <w:r w:rsidRPr="00670221">
                <w:rPr>
                  <w:lang w:val="en-US"/>
                </w:rPr>
                <w:t>electrofuels</w:t>
              </w:r>
              <w:proofErr w:type="spellEnd"/>
              <w:r w:rsidRPr="00670221">
                <w:rPr>
                  <w:lang w:val="en-US"/>
                </w:rPr>
                <w:t xml:space="preserve"> for aviation. </w:t>
              </w:r>
              <w:r w:rsidRPr="00670221">
                <w:rPr>
                  <w:i/>
                  <w:iCs/>
                  <w:lang w:val="en-US"/>
                </w:rPr>
                <w:t>Marginal Carbon.</w:t>
              </w:r>
              <w:r w:rsidRPr="00670221">
                <w:rPr>
                  <w:lang w:val="en-US"/>
                </w:rPr>
                <w:t xml:space="preserve"> </w:t>
              </w:r>
              <w:hyperlink r:id="rId106" w:history="1">
                <w:r w:rsidRPr="00670221">
                  <w:rPr>
                    <w:rStyle w:val="Hyperlink"/>
                    <w:lang w:val="en-US"/>
                  </w:rPr>
                  <w:t>https://marginalcarbon.substack.com/p/removals-are-better-than-some-reductions</w:t>
                </w:r>
              </w:hyperlink>
            </w:p>
            <w:p w14:paraId="235BA035" w14:textId="34105DC5" w:rsidR="00C81EE7" w:rsidRPr="00670221" w:rsidRDefault="00C81EE7" w:rsidP="00A85394">
              <w:pPr>
                <w:rPr>
                  <w:lang w:val="en-US"/>
                </w:rPr>
              </w:pPr>
              <w:r w:rsidRPr="00670221">
                <w:rPr>
                  <w:lang w:val="en-US"/>
                </w:rPr>
                <w:t xml:space="preserve">International Energy Agency. (2019). The future of hydrogen. In </w:t>
              </w:r>
              <w:r w:rsidRPr="00670221">
                <w:rPr>
                  <w:i/>
                  <w:iCs/>
                  <w:lang w:val="en-US"/>
                </w:rPr>
                <w:t>Report Prepared by the IEA for the G20, Japan</w:t>
              </w:r>
              <w:r w:rsidRPr="00670221">
                <w:rPr>
                  <w:lang w:val="en-US"/>
                </w:rPr>
                <w:t xml:space="preserve">. </w:t>
              </w:r>
              <w:hyperlink r:id="rId107" w:history="1">
                <w:r w:rsidRPr="00670221">
                  <w:rPr>
                    <w:rStyle w:val="Hyperlink"/>
                    <w:lang w:val="en-US"/>
                  </w:rPr>
                  <w:t>https://iea.blob.core.windows.net/assets/9e3a3493-b9a6-4b7d-b499-7ca48e357561/The_Future_of_Hydrogen.pdf</w:t>
                </w:r>
              </w:hyperlink>
            </w:p>
            <w:p w14:paraId="76EE3695" w14:textId="2B6A2D61" w:rsidR="00045A25" w:rsidRPr="00670221" w:rsidRDefault="00045A25" w:rsidP="00A85394">
              <w:pPr>
                <w:rPr>
                  <w:lang w:val="en-US"/>
                </w:rPr>
              </w:pPr>
              <w:r w:rsidRPr="00670221">
                <w:rPr>
                  <w:lang w:val="en-US"/>
                </w:rPr>
                <w:t xml:space="preserve">International Energy Agency. (2021). Net Zero by 2050: A roadmap for the global energy sector. In </w:t>
              </w:r>
              <w:r w:rsidRPr="00670221">
                <w:rPr>
                  <w:i/>
                  <w:iCs/>
                  <w:lang w:val="en-US"/>
                </w:rPr>
                <w:t>International Energy Agency</w:t>
              </w:r>
              <w:r w:rsidRPr="00670221">
                <w:rPr>
                  <w:lang w:val="en-US"/>
                </w:rPr>
                <w:t xml:space="preserve">. </w:t>
              </w:r>
              <w:hyperlink r:id="rId108" w:history="1">
                <w:r w:rsidRPr="00670221">
                  <w:rPr>
                    <w:rStyle w:val="Hyperlink"/>
                    <w:lang w:val="en-US"/>
                  </w:rPr>
                  <w:t>https://iea.blob.core.windows.net/assets/063ae08a-7114-4b58-a34e-39db2112d0a2/NetZeroby2050-ARoadmapfortheGlobalEnergySector.pdf</w:t>
                </w:r>
              </w:hyperlink>
            </w:p>
            <w:p w14:paraId="19C78EAC" w14:textId="6D56F894" w:rsidR="00A85394" w:rsidRPr="00670221" w:rsidRDefault="00045A25" w:rsidP="00A85394">
              <w:pPr>
                <w:rPr>
                  <w:lang w:val="en-US"/>
                </w:rPr>
              </w:pPr>
              <w:r w:rsidRPr="00670221">
                <w:rPr>
                  <w:lang w:val="en-US"/>
                </w:rPr>
                <w:t>International Energy Agency</w:t>
              </w:r>
              <w:r w:rsidR="00A85394" w:rsidRPr="00670221">
                <w:rPr>
                  <w:lang w:val="en-US"/>
                </w:rPr>
                <w:t xml:space="preserve">. (2023). Tracking Clean Energy Progress 2023. </w:t>
              </w:r>
              <w:hyperlink r:id="rId109" w:history="1">
                <w:r w:rsidR="00A85394" w:rsidRPr="00670221">
                  <w:rPr>
                    <w:rStyle w:val="Hyperlink"/>
                    <w:lang w:val="en-US"/>
                  </w:rPr>
                  <w:t>https://www.iea.org/reports/tracking-clean-energy-progress-2023</w:t>
                </w:r>
              </w:hyperlink>
            </w:p>
            <w:p w14:paraId="17B91B47" w14:textId="77777777" w:rsidR="00A85394" w:rsidRPr="00670221" w:rsidRDefault="00A85394" w:rsidP="00A85394">
              <w:pPr>
                <w:rPr>
                  <w:lang w:val="en-US"/>
                </w:rPr>
              </w:pPr>
              <w:r w:rsidRPr="00670221">
                <w:rPr>
                  <w:lang w:val="en-US"/>
                </w:rPr>
                <w:t xml:space="preserve">Intergovernmental Panel on Climate Change. (2022). Summary for Policymakers. In </w:t>
              </w:r>
              <w:r w:rsidRPr="00670221">
                <w:rPr>
                  <w:i/>
                  <w:iCs/>
                  <w:lang w:val="en-US"/>
                </w:rPr>
                <w:t>Climate Change 2022 Mitigation of Climate Change Working Group III Contribution to the Sixth Assessment Report of the Intergovernmental Panel on Climate Change</w:t>
              </w:r>
              <w:r w:rsidRPr="00670221">
                <w:rPr>
                  <w:lang w:val="en-US"/>
                </w:rPr>
                <w:t xml:space="preserve">. </w:t>
              </w:r>
              <w:hyperlink r:id="rId110" w:history="1">
                <w:r w:rsidRPr="00670221">
                  <w:rPr>
                    <w:rStyle w:val="Hyperlink"/>
                    <w:lang w:val="en-US"/>
                  </w:rPr>
                  <w:t>https://doi.org/10.1017/9781009157926.001</w:t>
                </w:r>
              </w:hyperlink>
            </w:p>
            <w:p w14:paraId="400EA84A" w14:textId="221A6F72" w:rsidR="00935A60" w:rsidRPr="00670221" w:rsidRDefault="00935A60" w:rsidP="00A85394">
              <w:pPr>
                <w:rPr>
                  <w:lang w:val="en-US"/>
                </w:rPr>
              </w:pPr>
              <w:r w:rsidRPr="00670221">
                <w:rPr>
                  <w:lang w:val="en-US"/>
                </w:rPr>
                <w:t xml:space="preserve">IRENA. (2020). Green hydrogen cost reduction: </w:t>
              </w:r>
              <w:r w:rsidRPr="00670221">
                <w:rPr>
                  <w:i/>
                  <w:iCs/>
                  <w:lang w:val="en-US"/>
                </w:rPr>
                <w:t xml:space="preserve">Scaling up </w:t>
              </w:r>
              <w:proofErr w:type="spellStart"/>
              <w:r w:rsidRPr="00670221">
                <w:rPr>
                  <w:i/>
                  <w:iCs/>
                  <w:lang w:val="en-US"/>
                </w:rPr>
                <w:t>electrolysers</w:t>
              </w:r>
              <w:proofErr w:type="spellEnd"/>
              <w:r w:rsidRPr="00670221">
                <w:rPr>
                  <w:i/>
                  <w:iCs/>
                  <w:lang w:val="en-US"/>
                </w:rPr>
                <w:t xml:space="preserve"> to meet the 1.50C climate goal.</w:t>
              </w:r>
              <w:r w:rsidRPr="00670221">
                <w:rPr>
                  <w:lang w:val="en-US"/>
                </w:rPr>
                <w:t xml:space="preserve"> International Renewable Energy Agency. </w:t>
              </w:r>
              <w:hyperlink r:id="rId111" w:history="1">
                <w:r w:rsidRPr="00670221">
                  <w:rPr>
                    <w:rStyle w:val="Hyperlink"/>
                    <w:lang w:val="en-US"/>
                  </w:rPr>
                  <w:t>https://www.irena.org/-/media/Files/IRENA/Agency/Publication/2020/Dec/IRENA_Green_hydrogen_cost_2020.pdf</w:t>
                </w:r>
              </w:hyperlink>
            </w:p>
            <w:p w14:paraId="316F9773" w14:textId="50E0183C" w:rsidR="003205B3" w:rsidRPr="00670221" w:rsidRDefault="003205B3" w:rsidP="00A85394">
              <w:pPr>
                <w:rPr>
                  <w:lang w:val="en-US"/>
                </w:rPr>
              </w:pPr>
              <w:proofErr w:type="spellStart"/>
              <w:r w:rsidRPr="00670221">
                <w:rPr>
                  <w:lang w:val="en-US"/>
                </w:rPr>
                <w:t>Jamasb</w:t>
              </w:r>
              <w:proofErr w:type="spellEnd"/>
              <w:r w:rsidRPr="00670221">
                <w:rPr>
                  <w:lang w:val="en-US"/>
                </w:rPr>
                <w:t xml:space="preserve">, T., &amp; Kohler, J. (2007). Learning curves for energy technology: a critical assessment. </w:t>
              </w:r>
              <w:hyperlink r:id="rId112" w:history="1">
                <w:r w:rsidRPr="00670221">
                  <w:rPr>
                    <w:rStyle w:val="Hyperlink"/>
                    <w:lang w:val="en-US"/>
                  </w:rPr>
                  <w:t>http://www.dspace.cam.ac.uk/handle/1810/194736</w:t>
                </w:r>
              </w:hyperlink>
            </w:p>
            <w:p w14:paraId="521E344A" w14:textId="23D21D5C" w:rsidR="006769C1" w:rsidRPr="00670221" w:rsidRDefault="006769C1" w:rsidP="00A85394">
              <w:pPr>
                <w:rPr>
                  <w:lang w:val="en-US"/>
                </w:rPr>
              </w:pPr>
              <w:r w:rsidRPr="00670221">
                <w:rPr>
                  <w:i/>
                  <w:iCs/>
                  <w:lang w:val="en-US"/>
                </w:rPr>
                <w:t>Jet fuel Price Monitor.</w:t>
              </w:r>
              <w:r w:rsidRPr="00670221">
                <w:rPr>
                  <w:lang w:val="en-US"/>
                </w:rPr>
                <w:t xml:space="preserve"> (n.d.). </w:t>
              </w:r>
              <w:hyperlink r:id="rId113" w:history="1">
                <w:r w:rsidRPr="00670221">
                  <w:rPr>
                    <w:rStyle w:val="Hyperlink"/>
                    <w:lang w:val="en-US"/>
                  </w:rPr>
                  <w:t>https://www.iata.org/en/publications/economics/fuel-monitor/</w:t>
                </w:r>
              </w:hyperlink>
            </w:p>
            <w:p w14:paraId="33582E83" w14:textId="591D3F9C" w:rsidR="00A85394" w:rsidRPr="00670221" w:rsidRDefault="00A85394" w:rsidP="00A85394">
              <w:pPr>
                <w:rPr>
                  <w:lang w:val="en-US"/>
                </w:rPr>
              </w:pPr>
              <w:r w:rsidRPr="00670221">
                <w:rPr>
                  <w:lang w:val="en-US"/>
                </w:rPr>
                <w:t xml:space="preserve">Kahn, M. E., </w:t>
              </w:r>
              <w:proofErr w:type="spellStart"/>
              <w:r w:rsidRPr="00670221">
                <w:rPr>
                  <w:lang w:val="en-US"/>
                </w:rPr>
                <w:t>Mohaddes</w:t>
              </w:r>
              <w:proofErr w:type="spellEnd"/>
              <w:r w:rsidRPr="00670221">
                <w:rPr>
                  <w:lang w:val="en-US"/>
                </w:rPr>
                <w:t xml:space="preserve">, K., Ng, R. N. C., </w:t>
              </w:r>
              <w:proofErr w:type="spellStart"/>
              <w:r w:rsidRPr="00670221">
                <w:rPr>
                  <w:lang w:val="en-US"/>
                </w:rPr>
                <w:t>Pesaran</w:t>
              </w:r>
              <w:proofErr w:type="spellEnd"/>
              <w:r w:rsidRPr="00670221">
                <w:rPr>
                  <w:lang w:val="en-US"/>
                </w:rPr>
                <w:t xml:space="preserve">, M. H., </w:t>
              </w:r>
              <w:proofErr w:type="spellStart"/>
              <w:r w:rsidRPr="00670221">
                <w:rPr>
                  <w:lang w:val="en-US"/>
                </w:rPr>
                <w:t>Raissi</w:t>
              </w:r>
              <w:proofErr w:type="spellEnd"/>
              <w:r w:rsidRPr="00670221">
                <w:rPr>
                  <w:lang w:val="en-US"/>
                </w:rPr>
                <w:t xml:space="preserve">, M., &amp; Jin, Y. (2021). Long-term macroeconomic effects of climate change: A cross-country analysis. </w:t>
              </w:r>
              <w:r w:rsidRPr="00670221">
                <w:rPr>
                  <w:i/>
                  <w:iCs/>
                  <w:lang w:val="en-US"/>
                </w:rPr>
                <w:t>Energy Economics</w:t>
              </w:r>
              <w:r w:rsidRPr="00670221">
                <w:rPr>
                  <w:lang w:val="en-US"/>
                </w:rPr>
                <w:t xml:space="preserve">, </w:t>
              </w:r>
              <w:r w:rsidRPr="00670221">
                <w:rPr>
                  <w:i/>
                  <w:iCs/>
                  <w:lang w:val="en-US"/>
                </w:rPr>
                <w:t>104</w:t>
              </w:r>
              <w:r w:rsidRPr="00670221">
                <w:rPr>
                  <w:lang w:val="en-US"/>
                </w:rPr>
                <w:t xml:space="preserve">, 105624. </w:t>
              </w:r>
              <w:hyperlink r:id="rId114" w:history="1">
                <w:r w:rsidRPr="00670221">
                  <w:rPr>
                    <w:rStyle w:val="Hyperlink"/>
                    <w:lang w:val="en-US"/>
                  </w:rPr>
                  <w:t>https://doi.org/10.1016/j.eneco.2021.105624</w:t>
                </w:r>
              </w:hyperlink>
            </w:p>
            <w:p w14:paraId="58FD2883" w14:textId="77777777" w:rsidR="00A85394" w:rsidRPr="00670221" w:rsidRDefault="00A85394" w:rsidP="00A85394">
              <w:pPr>
                <w:rPr>
                  <w:lang w:val="en-US"/>
                </w:rPr>
              </w:pPr>
              <w:proofErr w:type="spellStart"/>
              <w:r w:rsidRPr="00670221">
                <w:rPr>
                  <w:lang w:val="en-US"/>
                </w:rPr>
                <w:t>Kalkuhl</w:t>
              </w:r>
              <w:proofErr w:type="spellEnd"/>
              <w:r w:rsidRPr="00670221">
                <w:rPr>
                  <w:lang w:val="en-US"/>
                </w:rPr>
                <w:t xml:space="preserve">, M., &amp; Wenz, L. (2020). The impact of climate conditions on economic production. Evidence from a global panel of regions. </w:t>
              </w:r>
              <w:r w:rsidRPr="00670221">
                <w:rPr>
                  <w:i/>
                  <w:iCs/>
                  <w:lang w:val="en-US"/>
                </w:rPr>
                <w:t>Journal of Environmental Economics and Management</w:t>
              </w:r>
              <w:r w:rsidRPr="00670221">
                <w:rPr>
                  <w:lang w:val="en-US"/>
                </w:rPr>
                <w:t xml:space="preserve">, </w:t>
              </w:r>
              <w:r w:rsidRPr="00670221">
                <w:rPr>
                  <w:i/>
                  <w:iCs/>
                  <w:lang w:val="en-US"/>
                </w:rPr>
                <w:t>103</w:t>
              </w:r>
              <w:r w:rsidRPr="00670221">
                <w:rPr>
                  <w:lang w:val="en-US"/>
                </w:rPr>
                <w:t xml:space="preserve">, 102360. </w:t>
              </w:r>
              <w:hyperlink r:id="rId115" w:history="1">
                <w:r w:rsidRPr="00670221">
                  <w:rPr>
                    <w:rStyle w:val="Hyperlink"/>
                    <w:lang w:val="en-US"/>
                  </w:rPr>
                  <w:t>https://doi.org/10.1016/j.jeem.2020.102360</w:t>
                </w:r>
              </w:hyperlink>
            </w:p>
            <w:p w14:paraId="3C6011B0" w14:textId="2FD5DE28" w:rsidR="00487851" w:rsidRPr="00670221" w:rsidRDefault="00487851" w:rsidP="00A85394">
              <w:pPr>
                <w:rPr>
                  <w:lang w:val="en-US"/>
                </w:rPr>
              </w:pPr>
              <w:r w:rsidRPr="00670221">
                <w:rPr>
                  <w:lang w:val="en-US"/>
                </w:rPr>
                <w:t xml:space="preserve">Kemp, R., </w:t>
              </w:r>
              <w:proofErr w:type="spellStart"/>
              <w:r w:rsidRPr="00670221">
                <w:rPr>
                  <w:lang w:val="en-US"/>
                </w:rPr>
                <w:t>Schot</w:t>
              </w:r>
              <w:proofErr w:type="spellEnd"/>
              <w:r w:rsidRPr="00670221">
                <w:rPr>
                  <w:lang w:val="en-US"/>
                </w:rPr>
                <w:t xml:space="preserve">, J., &amp; </w:t>
              </w:r>
              <w:proofErr w:type="spellStart"/>
              <w:r w:rsidRPr="00670221">
                <w:rPr>
                  <w:lang w:val="en-US"/>
                </w:rPr>
                <w:t>Hoogma</w:t>
              </w:r>
              <w:proofErr w:type="spellEnd"/>
              <w:r w:rsidRPr="00670221">
                <w:rPr>
                  <w:lang w:val="en-US"/>
                </w:rPr>
                <w:t xml:space="preserve">, R. (1998). Regime shifts to sustainability through processes of niche formation: The approach of strategic niche management. </w:t>
              </w:r>
              <w:r w:rsidRPr="00670221">
                <w:rPr>
                  <w:i/>
                  <w:iCs/>
                  <w:lang w:val="en-US"/>
                </w:rPr>
                <w:t>Technology Analysis and Strategic Management, 10</w:t>
              </w:r>
              <w:r w:rsidRPr="00670221">
                <w:rPr>
                  <w:lang w:val="en-US"/>
                </w:rPr>
                <w:t xml:space="preserve">(2), 175–198. </w:t>
              </w:r>
              <w:hyperlink r:id="rId116" w:history="1">
                <w:r w:rsidRPr="00670221">
                  <w:rPr>
                    <w:rStyle w:val="Hyperlink"/>
                    <w:lang w:val="en-US"/>
                  </w:rPr>
                  <w:t>https://doi.org/10.1080/09537329808524310</w:t>
                </w:r>
              </w:hyperlink>
            </w:p>
            <w:p w14:paraId="455B739A" w14:textId="41408BD8" w:rsidR="00BC2A04" w:rsidRPr="00670221" w:rsidRDefault="00BC2A04" w:rsidP="00A85394">
              <w:pPr>
                <w:rPr>
                  <w:lang w:val="en-US"/>
                </w:rPr>
              </w:pPr>
              <w:proofErr w:type="spellStart"/>
              <w:r w:rsidRPr="00670221">
                <w:rPr>
                  <w:lang w:val="en-US"/>
                </w:rPr>
                <w:t>Kopernikus</w:t>
              </w:r>
              <w:proofErr w:type="spellEnd"/>
              <w:r w:rsidRPr="00670221">
                <w:rPr>
                  <w:lang w:val="en-US"/>
                </w:rPr>
                <w:t xml:space="preserve">-Projekt Ariadne. (2023). MSR through 2030: </w:t>
              </w:r>
              <w:r w:rsidRPr="00670221">
                <w:rPr>
                  <w:i/>
                  <w:iCs/>
                  <w:lang w:val="en-US"/>
                </w:rPr>
                <w:t>Impact on market liquidity</w:t>
              </w:r>
              <w:r w:rsidR="00FA6633" w:rsidRPr="00670221">
                <w:rPr>
                  <w:i/>
                  <w:iCs/>
                  <w:lang w:val="en-US"/>
                </w:rPr>
                <w:t xml:space="preserve"> </w:t>
              </w:r>
              <w:r w:rsidRPr="00670221">
                <w:rPr>
                  <w:i/>
                  <w:iCs/>
                  <w:lang w:val="en-US"/>
                </w:rPr>
                <w:t>and considerations for the 2026 reform</w:t>
              </w:r>
              <w:r w:rsidRPr="00670221">
                <w:rPr>
                  <w:lang w:val="en-US"/>
                </w:rPr>
                <w:t xml:space="preserve">. Potsdam Institute for Climate Impact Research. </w:t>
              </w:r>
              <w:hyperlink r:id="rId117" w:history="1">
                <w:r w:rsidR="00FA6633" w:rsidRPr="00670221">
                  <w:rPr>
                    <w:rStyle w:val="Hyperlink"/>
                    <w:lang w:val="en-US"/>
                  </w:rPr>
                  <w:t>https://ariadneprojekt.de/media/2023/12/Ariadne-Documentation_ETSWorkshopBruessel_December2023.pdf</w:t>
                </w:r>
              </w:hyperlink>
            </w:p>
            <w:p w14:paraId="03080A07" w14:textId="41E9E74E" w:rsidR="00A85394" w:rsidRPr="00670221" w:rsidRDefault="00A85394" w:rsidP="00A85394">
              <w:pPr>
                <w:rPr>
                  <w:lang w:val="en-US"/>
                </w:rPr>
              </w:pPr>
              <w:r w:rsidRPr="00670221">
                <w:rPr>
                  <w:lang w:val="en-US"/>
                </w:rPr>
                <w:t xml:space="preserve">Kumar, A., Madden, D. G., </w:t>
              </w:r>
              <w:proofErr w:type="spellStart"/>
              <w:r w:rsidRPr="00670221">
                <w:rPr>
                  <w:lang w:val="en-US"/>
                </w:rPr>
                <w:t>Lusi</w:t>
              </w:r>
              <w:proofErr w:type="spellEnd"/>
              <w:r w:rsidRPr="00670221">
                <w:rPr>
                  <w:lang w:val="en-US"/>
                </w:rPr>
                <w:t xml:space="preserve">, M., Chen, K., Daniels, E. A., Curtin, T., Perry, J. J., &amp; </w:t>
              </w:r>
              <w:proofErr w:type="spellStart"/>
              <w:r w:rsidRPr="00670221">
                <w:rPr>
                  <w:lang w:val="en-US"/>
                </w:rPr>
                <w:t>Zaworotko</w:t>
              </w:r>
              <w:proofErr w:type="spellEnd"/>
              <w:r w:rsidRPr="00670221">
                <w:rPr>
                  <w:lang w:val="en-US"/>
                </w:rPr>
                <w:t xml:space="preserve">, M. J. (2015). Direct air capture of CO2 by </w:t>
              </w:r>
              <w:proofErr w:type="spellStart"/>
              <w:r w:rsidRPr="00670221">
                <w:rPr>
                  <w:lang w:val="en-US"/>
                </w:rPr>
                <w:t>physisorbent</w:t>
              </w:r>
              <w:proofErr w:type="spellEnd"/>
              <w:r w:rsidRPr="00670221">
                <w:rPr>
                  <w:lang w:val="en-US"/>
                </w:rPr>
                <w:t xml:space="preserve"> materials. </w:t>
              </w:r>
              <w:proofErr w:type="spellStart"/>
              <w:r w:rsidRPr="00670221">
                <w:rPr>
                  <w:i/>
                  <w:iCs/>
                  <w:lang w:val="en-US"/>
                </w:rPr>
                <w:t>Angewandte</w:t>
              </w:r>
              <w:proofErr w:type="spellEnd"/>
              <w:r w:rsidRPr="00670221">
                <w:rPr>
                  <w:i/>
                  <w:iCs/>
                  <w:lang w:val="en-US"/>
                </w:rPr>
                <w:t xml:space="preserve"> </w:t>
              </w:r>
              <w:proofErr w:type="spellStart"/>
              <w:r w:rsidRPr="00670221">
                <w:rPr>
                  <w:i/>
                  <w:iCs/>
                  <w:lang w:val="en-US"/>
                </w:rPr>
                <w:t>Chemie</w:t>
              </w:r>
              <w:proofErr w:type="spellEnd"/>
              <w:r w:rsidRPr="00670221">
                <w:rPr>
                  <w:i/>
                  <w:iCs/>
                  <w:lang w:val="en-US"/>
                </w:rPr>
                <w:t xml:space="preserve"> International Edition</w:t>
              </w:r>
              <w:r w:rsidRPr="00670221">
                <w:rPr>
                  <w:lang w:val="en-US"/>
                </w:rPr>
                <w:t xml:space="preserve">, </w:t>
              </w:r>
              <w:r w:rsidRPr="00670221">
                <w:rPr>
                  <w:i/>
                  <w:iCs/>
                  <w:lang w:val="en-US"/>
                </w:rPr>
                <w:t>54</w:t>
              </w:r>
              <w:r w:rsidRPr="00670221">
                <w:rPr>
                  <w:lang w:val="en-US"/>
                </w:rPr>
                <w:t xml:space="preserve">(48), 14372–14377. </w:t>
              </w:r>
              <w:hyperlink r:id="rId118" w:history="1">
                <w:r w:rsidRPr="00670221">
                  <w:rPr>
                    <w:rStyle w:val="Hyperlink"/>
                    <w:lang w:val="en-US"/>
                  </w:rPr>
                  <w:t>https://doi.org/10.1002/anie.201506952</w:t>
                </w:r>
              </w:hyperlink>
            </w:p>
            <w:p w14:paraId="66755940" w14:textId="77777777" w:rsidR="00A85394" w:rsidRPr="00670221" w:rsidRDefault="00A85394" w:rsidP="00A85394">
              <w:pPr>
                <w:rPr>
                  <w:lang w:val="en-US"/>
                </w:rPr>
              </w:pPr>
              <w:r w:rsidRPr="00670221">
                <w:rPr>
                  <w:i/>
                  <w:iCs/>
                  <w:lang w:val="en-US"/>
                </w:rPr>
                <w:t>Lawmaker proposes raising EU green jet fuel target to 100% by 2050</w:t>
              </w:r>
              <w:r w:rsidRPr="00670221">
                <w:rPr>
                  <w:lang w:val="en-US"/>
                </w:rPr>
                <w:t xml:space="preserve">. (2022). </w:t>
              </w:r>
              <w:proofErr w:type="spellStart"/>
              <w:r w:rsidRPr="00670221">
                <w:rPr>
                  <w:lang w:val="en-US"/>
                </w:rPr>
                <w:t>Euractiv</w:t>
              </w:r>
              <w:proofErr w:type="spellEnd"/>
              <w:r w:rsidRPr="00670221">
                <w:rPr>
                  <w:lang w:val="en-US"/>
                </w:rPr>
                <w:t xml:space="preserve">. </w:t>
              </w:r>
              <w:hyperlink r:id="rId119" w:history="1">
                <w:r w:rsidRPr="00670221">
                  <w:rPr>
                    <w:rStyle w:val="Hyperlink"/>
                    <w:lang w:val="en-US"/>
                  </w:rPr>
                  <w:t>https://www.euractiv.com/section/biofuels/news/lawmaker-proposes-raising-eu-green-jet-fuel-target-to-100-by-2050/</w:t>
                </w:r>
              </w:hyperlink>
            </w:p>
            <w:p w14:paraId="4A19CA2B" w14:textId="3C91DD38" w:rsidR="00CE21B0" w:rsidRPr="00670221" w:rsidRDefault="00CE21B0" w:rsidP="00A85394">
              <w:pPr>
                <w:rPr>
                  <w:lang w:val="en-US"/>
                </w:rPr>
              </w:pPr>
              <w:r w:rsidRPr="00670221">
                <w:rPr>
                  <w:lang w:val="en-US"/>
                </w:rPr>
                <w:lastRenderedPageBreak/>
                <w:t xml:space="preserve">Leech, N. L., &amp; Onwuegbuzie, A. J. (2010b). Guidelines for conducting and reporting mixed research in the field of counseling and beyond. </w:t>
              </w:r>
              <w:r w:rsidRPr="00670221">
                <w:rPr>
                  <w:i/>
                  <w:iCs/>
                  <w:lang w:val="en-US"/>
                </w:rPr>
                <w:t>Journal of Counseling &amp; Development, 88</w:t>
              </w:r>
              <w:r w:rsidRPr="00670221">
                <w:rPr>
                  <w:lang w:val="en-US"/>
                </w:rPr>
                <w:t xml:space="preserve">(1), 61–69. </w:t>
              </w:r>
              <w:hyperlink r:id="rId120" w:history="1">
                <w:r w:rsidRPr="00670221">
                  <w:rPr>
                    <w:rStyle w:val="Hyperlink"/>
                    <w:lang w:val="en-US"/>
                  </w:rPr>
                  <w:t>https://doi.org/10.1002/j.1556-6678.2010.tb00151.x</w:t>
                </w:r>
              </w:hyperlink>
            </w:p>
            <w:p w14:paraId="3EEDDA9F" w14:textId="5880390F" w:rsidR="00A85394" w:rsidRPr="00670221" w:rsidRDefault="00A85394" w:rsidP="00A85394">
              <w:pPr>
                <w:rPr>
                  <w:lang w:val="en-US"/>
                </w:rPr>
              </w:pPr>
              <w:r w:rsidRPr="00670221">
                <w:rPr>
                  <w:lang w:val="en-US"/>
                </w:rPr>
                <w:t xml:space="preserve">Lin, B., &amp; Ge, J. (2020). To harvest or not to harvest? Forest management as a trade-off between bioenergy production and carbon sink. </w:t>
              </w:r>
              <w:r w:rsidRPr="00670221">
                <w:rPr>
                  <w:i/>
                  <w:iCs/>
                  <w:lang w:val="en-US"/>
                </w:rPr>
                <w:t>Journal of Cleaner Production</w:t>
              </w:r>
              <w:r w:rsidRPr="00670221">
                <w:rPr>
                  <w:lang w:val="en-US"/>
                </w:rPr>
                <w:t xml:space="preserve">, </w:t>
              </w:r>
              <w:r w:rsidRPr="00670221">
                <w:rPr>
                  <w:i/>
                  <w:iCs/>
                  <w:lang w:val="en-US"/>
                </w:rPr>
                <w:t>268</w:t>
              </w:r>
              <w:r w:rsidRPr="00670221">
                <w:rPr>
                  <w:lang w:val="en-US"/>
                </w:rPr>
                <w:t xml:space="preserve">, 122219. </w:t>
              </w:r>
              <w:hyperlink r:id="rId121" w:history="1">
                <w:r w:rsidRPr="00670221">
                  <w:rPr>
                    <w:rStyle w:val="Hyperlink"/>
                    <w:lang w:val="en-US"/>
                  </w:rPr>
                  <w:t>https://doi.org/10.1016/j.jclepro.2020.122219</w:t>
                </w:r>
              </w:hyperlink>
            </w:p>
            <w:p w14:paraId="45E8E598" w14:textId="77777777" w:rsidR="00A85394" w:rsidRPr="00670221" w:rsidRDefault="00A85394" w:rsidP="00A85394">
              <w:pPr>
                <w:rPr>
                  <w:lang w:val="en-US"/>
                </w:rPr>
              </w:pPr>
              <w:r w:rsidRPr="00670221">
                <w:rPr>
                  <w:lang w:val="en-US"/>
                </w:rPr>
                <w:t>Liu, C. M., Sandhu, N., McCoy, S., &amp; Bergerson, J. (2020). A life cycle assessment of greenhouse gas emissions from direct air capture and Fischer–</w:t>
              </w:r>
              <w:proofErr w:type="spellStart"/>
              <w:r w:rsidRPr="00670221">
                <w:rPr>
                  <w:lang w:val="en-US"/>
                </w:rPr>
                <w:t>Tropsch</w:t>
              </w:r>
              <w:proofErr w:type="spellEnd"/>
              <w:r w:rsidRPr="00670221">
                <w:rPr>
                  <w:lang w:val="en-US"/>
                </w:rPr>
                <w:t xml:space="preserve"> fuel production. </w:t>
              </w:r>
              <w:r w:rsidRPr="00670221">
                <w:rPr>
                  <w:i/>
                  <w:iCs/>
                  <w:lang w:val="en-US"/>
                </w:rPr>
                <w:t>Sustainable Energy and Fuels</w:t>
              </w:r>
              <w:r w:rsidRPr="00670221">
                <w:rPr>
                  <w:lang w:val="en-US"/>
                </w:rPr>
                <w:t xml:space="preserve">, </w:t>
              </w:r>
              <w:r w:rsidRPr="00670221">
                <w:rPr>
                  <w:i/>
                  <w:iCs/>
                  <w:lang w:val="en-US"/>
                </w:rPr>
                <w:t>4</w:t>
              </w:r>
              <w:r w:rsidRPr="00670221">
                <w:rPr>
                  <w:lang w:val="en-US"/>
                </w:rPr>
                <w:t xml:space="preserve">(6), 3129–3142. </w:t>
              </w:r>
              <w:hyperlink r:id="rId122" w:history="1">
                <w:r w:rsidRPr="00670221">
                  <w:rPr>
                    <w:rStyle w:val="Hyperlink"/>
                    <w:lang w:val="en-US"/>
                  </w:rPr>
                  <w:t>https://doi.org/10.1039/c9se00479c</w:t>
                </w:r>
              </w:hyperlink>
            </w:p>
            <w:p w14:paraId="12BCDE46" w14:textId="77777777" w:rsidR="00A85394" w:rsidRPr="00670221" w:rsidRDefault="00A85394" w:rsidP="00A85394">
              <w:pPr>
                <w:rPr>
                  <w:lang w:val="en-US"/>
                </w:rPr>
              </w:pPr>
              <w:r w:rsidRPr="00670221">
                <w:rPr>
                  <w:lang w:val="en-US"/>
                </w:rPr>
                <w:t xml:space="preserve">Liu, D., Guo, X., &amp; Xiao, B. (2019). What causes growth of global greenhouse gas emissions? Evidence from 40 countries. </w:t>
              </w:r>
              <w:r w:rsidRPr="00670221">
                <w:rPr>
                  <w:i/>
                  <w:iCs/>
                  <w:lang w:val="en-US"/>
                </w:rPr>
                <w:t>Science of the Total Environment</w:t>
              </w:r>
              <w:r w:rsidRPr="00670221">
                <w:rPr>
                  <w:lang w:val="en-US"/>
                </w:rPr>
                <w:t xml:space="preserve">, </w:t>
              </w:r>
              <w:r w:rsidRPr="00670221">
                <w:rPr>
                  <w:i/>
                  <w:iCs/>
                  <w:lang w:val="en-US"/>
                </w:rPr>
                <w:t>661</w:t>
              </w:r>
              <w:r w:rsidRPr="00670221">
                <w:rPr>
                  <w:lang w:val="en-US"/>
                </w:rPr>
                <w:t xml:space="preserve">, 750–766. </w:t>
              </w:r>
              <w:hyperlink r:id="rId123" w:history="1">
                <w:r w:rsidRPr="00670221">
                  <w:rPr>
                    <w:rStyle w:val="Hyperlink"/>
                    <w:lang w:val="en-US"/>
                  </w:rPr>
                  <w:t>https://doi.org/10.1016/j.scitotenv.2019.01.197</w:t>
                </w:r>
              </w:hyperlink>
            </w:p>
            <w:p w14:paraId="6F53C871" w14:textId="06402229" w:rsidR="008D2684" w:rsidRPr="00670221" w:rsidRDefault="008D2684" w:rsidP="00A85394">
              <w:pPr>
                <w:rPr>
                  <w:lang w:val="en-US"/>
                </w:rPr>
              </w:pPr>
              <w:r w:rsidRPr="00670221">
                <w:rPr>
                  <w:lang w:val="en-US"/>
                </w:rPr>
                <w:t xml:space="preserve">Masson-Delmotte, V., Zhai, P., </w:t>
              </w:r>
              <w:proofErr w:type="spellStart"/>
              <w:r w:rsidRPr="00670221">
                <w:rPr>
                  <w:lang w:val="en-US"/>
                </w:rPr>
                <w:t>Pörtner</w:t>
              </w:r>
              <w:proofErr w:type="spellEnd"/>
              <w:r w:rsidRPr="00670221">
                <w:rPr>
                  <w:lang w:val="en-US"/>
                </w:rPr>
                <w:t xml:space="preserve">, H.-O., Roberts, D., </w:t>
              </w:r>
              <w:proofErr w:type="spellStart"/>
              <w:r w:rsidRPr="00670221">
                <w:rPr>
                  <w:lang w:val="en-US"/>
                </w:rPr>
                <w:t>Skea</w:t>
              </w:r>
              <w:proofErr w:type="spellEnd"/>
              <w:r w:rsidRPr="00670221">
                <w:rPr>
                  <w:lang w:val="en-US"/>
                </w:rPr>
                <w:t xml:space="preserve">, J., Shukla, P. R., Pirani, A., </w:t>
              </w:r>
              <w:proofErr w:type="spellStart"/>
              <w:r w:rsidRPr="00670221">
                <w:rPr>
                  <w:lang w:val="en-US"/>
                </w:rPr>
                <w:t>Moufouma-Okia</w:t>
              </w:r>
              <w:proofErr w:type="spellEnd"/>
              <w:r w:rsidRPr="00670221">
                <w:rPr>
                  <w:lang w:val="en-US"/>
                </w:rPr>
                <w:t xml:space="preserve">, W., </w:t>
              </w:r>
              <w:proofErr w:type="spellStart"/>
              <w:r w:rsidRPr="00670221">
                <w:rPr>
                  <w:lang w:val="en-US"/>
                </w:rPr>
                <w:t>Péan</w:t>
              </w:r>
              <w:proofErr w:type="spellEnd"/>
              <w:r w:rsidRPr="00670221">
                <w:rPr>
                  <w:lang w:val="en-US"/>
                </w:rPr>
                <w:t xml:space="preserve">, C., Pidcock, R., Connors, S., Matthews, J. B. R., Chen, Y., Zhou, X., Gomis, M. I., </w:t>
              </w:r>
              <w:proofErr w:type="spellStart"/>
              <w:r w:rsidRPr="00670221">
                <w:rPr>
                  <w:lang w:val="en-US"/>
                </w:rPr>
                <w:t>Lonnoy</w:t>
              </w:r>
              <w:proofErr w:type="spellEnd"/>
              <w:r w:rsidRPr="00670221">
                <w:rPr>
                  <w:lang w:val="en-US"/>
                </w:rPr>
                <w:t xml:space="preserve">, E., Maycock, T., </w:t>
              </w:r>
              <w:proofErr w:type="spellStart"/>
              <w:r w:rsidRPr="00670221">
                <w:rPr>
                  <w:lang w:val="en-US"/>
                </w:rPr>
                <w:t>Tignor</w:t>
              </w:r>
              <w:proofErr w:type="spellEnd"/>
              <w:r w:rsidRPr="00670221">
                <w:rPr>
                  <w:lang w:val="en-US"/>
                </w:rPr>
                <w:t xml:space="preserve">, M., &amp; Waterfield, T. (Eds.). (2018). </w:t>
              </w:r>
              <w:r w:rsidRPr="00670221">
                <w:rPr>
                  <w:i/>
                  <w:iCs/>
                  <w:lang w:val="en-US"/>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670221">
                <w:rPr>
                  <w:lang w:val="en-US"/>
                </w:rPr>
                <w:t xml:space="preserve"> Cambridge University Press. </w:t>
              </w:r>
              <w:hyperlink r:id="rId124" w:history="1">
                <w:r w:rsidRPr="00670221">
                  <w:rPr>
                    <w:rStyle w:val="Hyperlink"/>
                    <w:lang w:val="en-US"/>
                  </w:rPr>
                  <w:t>https://doi.org/10.1017/9781009157940</w:t>
                </w:r>
              </w:hyperlink>
            </w:p>
            <w:p w14:paraId="72A7E60A" w14:textId="6620FBA4" w:rsidR="00A85394" w:rsidRPr="00670221" w:rsidRDefault="00A85394" w:rsidP="00A85394">
              <w:pPr>
                <w:rPr>
                  <w:rStyle w:val="Hyperlink"/>
                  <w:lang w:val="en-US"/>
                </w:rPr>
              </w:pPr>
              <w:r w:rsidRPr="00670221">
                <w:rPr>
                  <w:lang w:val="en-US"/>
                </w:rPr>
                <w:t xml:space="preserve">Mannion, P., Parry, E., Scott, J., &amp; Patel, M. (2024). </w:t>
              </w:r>
              <w:r w:rsidRPr="00670221">
                <w:rPr>
                  <w:i/>
                  <w:iCs/>
                  <w:lang w:val="en-US"/>
                </w:rPr>
                <w:t>Carbon removals: How to scale a new giga ton industry</w:t>
              </w:r>
              <w:r w:rsidRPr="00670221">
                <w:rPr>
                  <w:lang w:val="en-US"/>
                </w:rPr>
                <w:t xml:space="preserve">. McKinsey &amp; Company. </w:t>
              </w:r>
              <w:hyperlink r:id="rId125" w:anchor="/" w:history="1">
                <w:r w:rsidRPr="00670221">
                  <w:rPr>
                    <w:rStyle w:val="Hyperlink"/>
                    <w:lang w:val="en-US"/>
                  </w:rPr>
                  <w:t>https://www.mckinsey.com/capabilities/sustainability/our-insights/carbon-removals-how-to-scale-a-new-gigaton-industry?utm_source=substack&amp;utm_medium=email#/</w:t>
                </w:r>
              </w:hyperlink>
            </w:p>
            <w:p w14:paraId="1DB3940E" w14:textId="6BBB0D14" w:rsidR="003F324A" w:rsidRPr="00670221" w:rsidRDefault="003F324A" w:rsidP="00A85394">
              <w:pPr>
                <w:rPr>
                  <w:lang w:val="en-US"/>
                </w:rPr>
              </w:pPr>
              <w:proofErr w:type="spellStart"/>
              <w:r w:rsidRPr="00670221">
                <w:rPr>
                  <w:lang w:val="en-US"/>
                </w:rPr>
                <w:t>Markowitsch</w:t>
              </w:r>
              <w:proofErr w:type="spellEnd"/>
              <w:r w:rsidRPr="00670221">
                <w:rPr>
                  <w:lang w:val="en-US"/>
                </w:rPr>
                <w:t xml:space="preserve">, C., Lehner, M., &amp; Maly, M. (2023). Evaluation of process structures and reactor technologies of an integrated power-to-liquid plant at a cement factory. </w:t>
              </w:r>
              <w:r w:rsidRPr="00670221">
                <w:rPr>
                  <w:i/>
                  <w:iCs/>
                  <w:lang w:val="en-US"/>
                </w:rPr>
                <w:t>Journal of CO2 Utilization, 70</w:t>
              </w:r>
              <w:r w:rsidRPr="00670221">
                <w:rPr>
                  <w:lang w:val="en-US"/>
                </w:rPr>
                <w:t xml:space="preserve">, 102449. </w:t>
              </w:r>
              <w:hyperlink r:id="rId126" w:history="1">
                <w:r w:rsidRPr="00670221">
                  <w:rPr>
                    <w:rStyle w:val="Hyperlink"/>
                    <w:lang w:val="en-US"/>
                  </w:rPr>
                  <w:t>https://doi.org/10.1016/j.jcou.2023.102449</w:t>
                </w:r>
              </w:hyperlink>
            </w:p>
            <w:p w14:paraId="2E30F9D5" w14:textId="484BC439" w:rsidR="00A85394" w:rsidRPr="00670221" w:rsidRDefault="00A85394" w:rsidP="00A85394">
              <w:pPr>
                <w:rPr>
                  <w:lang w:val="en-US"/>
                </w:rPr>
              </w:pPr>
              <w:r w:rsidRPr="00670221">
                <w:rPr>
                  <w:lang w:val="en-US"/>
                </w:rPr>
                <w:t xml:space="preserve">Martín, J. S., Neumann, A., &amp; </w:t>
              </w:r>
              <w:proofErr w:type="spellStart"/>
              <w:r w:rsidRPr="00670221">
                <w:rPr>
                  <w:lang w:val="en-US"/>
                </w:rPr>
                <w:t>Ødegård</w:t>
              </w:r>
              <w:proofErr w:type="spellEnd"/>
              <w:r w:rsidRPr="00670221">
                <w:rPr>
                  <w:lang w:val="en-US"/>
                </w:rPr>
                <w:t xml:space="preserve">, A. (2023). Renewable hydrogen and synthetic fuels versus fossil fuels for trucking, shipping and aviation: A holistic cost model. </w:t>
              </w:r>
              <w:r w:rsidRPr="00670221">
                <w:rPr>
                  <w:i/>
                  <w:iCs/>
                  <w:lang w:val="en-US"/>
                </w:rPr>
                <w:t>Renewable &amp; Sustainable Energy Reviews, 186</w:t>
              </w:r>
              <w:r w:rsidRPr="00670221">
                <w:rPr>
                  <w:lang w:val="en-US"/>
                </w:rPr>
                <w:t xml:space="preserve">, 113637. </w:t>
              </w:r>
              <w:hyperlink r:id="rId127" w:history="1">
                <w:r w:rsidRPr="00670221">
                  <w:rPr>
                    <w:rStyle w:val="Hyperlink"/>
                    <w:lang w:val="en-US"/>
                  </w:rPr>
                  <w:t>https://doi.org/10.1016/j.rser.2023.113637</w:t>
                </w:r>
              </w:hyperlink>
            </w:p>
            <w:p w14:paraId="2FB940F7" w14:textId="6DEE8635" w:rsidR="0059576D" w:rsidRPr="00670221" w:rsidRDefault="0059576D" w:rsidP="00A85394">
              <w:pPr>
                <w:rPr>
                  <w:lang w:val="en-US"/>
                </w:rPr>
              </w:pPr>
              <w:r w:rsidRPr="00670221">
                <w:rPr>
                  <w:lang w:val="en-US"/>
                </w:rPr>
                <w:t xml:space="preserve">Martin, G., </w:t>
              </w:r>
              <w:proofErr w:type="spellStart"/>
              <w:r w:rsidRPr="00670221">
                <w:rPr>
                  <w:lang w:val="en-US"/>
                </w:rPr>
                <w:t>Oikonomopoulou</w:t>
              </w:r>
              <w:proofErr w:type="spellEnd"/>
              <w:r w:rsidRPr="00670221">
                <w:rPr>
                  <w:lang w:val="en-US"/>
                </w:rPr>
                <w:t xml:space="preserve">, E., &amp; Walsh, P. (2024). </w:t>
              </w:r>
              <w:r w:rsidRPr="00670221">
                <w:rPr>
                  <w:i/>
                  <w:iCs/>
                  <w:lang w:val="en-US"/>
                </w:rPr>
                <w:t>LOW-CARBON FUELS: DECODING EU LEGISLATION FOR THE TRANSPORT SECTOR.</w:t>
              </w:r>
              <w:r w:rsidRPr="00670221">
                <w:rPr>
                  <w:lang w:val="en-US"/>
                </w:rPr>
                <w:t xml:space="preserve"> Clifford chance. </w:t>
              </w:r>
              <w:hyperlink r:id="rId128" w:history="1">
                <w:r w:rsidRPr="00670221">
                  <w:rPr>
                    <w:rStyle w:val="Hyperlink"/>
                    <w:lang w:val="en-US"/>
                  </w:rPr>
                  <w:t>https://www.cliffordchance.com/content/dam/cliffordchance/briefings/2024/02/low-carbon-fuels-decoding-eu-legislation-for-the-transport-sector.pdf</w:t>
                </w:r>
              </w:hyperlink>
            </w:p>
            <w:p w14:paraId="0FEB21C5" w14:textId="5EE26E95" w:rsidR="003205B3" w:rsidRPr="00670221" w:rsidRDefault="003205B3" w:rsidP="00A85394">
              <w:pPr>
                <w:rPr>
                  <w:lang w:val="en-US"/>
                </w:rPr>
              </w:pPr>
              <w:r w:rsidRPr="00670221">
                <w:rPr>
                  <w:lang w:val="en-US"/>
                </w:rPr>
                <w:t xml:space="preserve">McDonald, A., &amp; </w:t>
              </w:r>
              <w:proofErr w:type="spellStart"/>
              <w:r w:rsidRPr="00670221">
                <w:rPr>
                  <w:lang w:val="en-US"/>
                </w:rPr>
                <w:t>Schrattenholzer</w:t>
              </w:r>
              <w:proofErr w:type="spellEnd"/>
              <w:r w:rsidRPr="00670221">
                <w:rPr>
                  <w:lang w:val="en-US"/>
                </w:rPr>
                <w:t xml:space="preserve">, L. (2001). Learning rates for energy technologies. </w:t>
              </w:r>
              <w:r w:rsidRPr="00670221">
                <w:rPr>
                  <w:i/>
                  <w:iCs/>
                  <w:lang w:val="en-US"/>
                </w:rPr>
                <w:t>Energy Policy, 29(</w:t>
              </w:r>
              <w:r w:rsidRPr="00670221">
                <w:rPr>
                  <w:lang w:val="en-US"/>
                </w:rPr>
                <w:t xml:space="preserve">4), 255–261. </w:t>
              </w:r>
              <w:hyperlink r:id="rId129" w:history="1">
                <w:r w:rsidRPr="00670221">
                  <w:rPr>
                    <w:rStyle w:val="Hyperlink"/>
                    <w:lang w:val="en-US"/>
                  </w:rPr>
                  <w:t>https://doi.org/10.1016/s0301-4215(00)00122-1</w:t>
                </w:r>
              </w:hyperlink>
            </w:p>
            <w:p w14:paraId="1A889C4D" w14:textId="7F42E1AD" w:rsidR="00F73A70" w:rsidRPr="00670221" w:rsidRDefault="00F73A70" w:rsidP="00A85394">
              <w:pPr>
                <w:rPr>
                  <w:lang w:val="en-US"/>
                </w:rPr>
              </w:pPr>
              <w:r w:rsidRPr="00670221">
                <w:rPr>
                  <w:lang w:val="en-US"/>
                </w:rPr>
                <w:t xml:space="preserve">McKenna, B., Poehler, A., Qin, K., Lam, Y., &amp; </w:t>
              </w:r>
              <w:proofErr w:type="spellStart"/>
              <w:r w:rsidRPr="00670221">
                <w:rPr>
                  <w:lang w:val="en-US"/>
                </w:rPr>
                <w:t>Tempke</w:t>
              </w:r>
              <w:proofErr w:type="spellEnd"/>
              <w:r w:rsidRPr="00670221">
                <w:rPr>
                  <w:lang w:val="en-US"/>
                </w:rPr>
                <w:t xml:space="preserve">, R. (2024). </w:t>
              </w:r>
              <w:r w:rsidRPr="00670221">
                <w:rPr>
                  <w:i/>
                  <w:iCs/>
                  <w:lang w:val="en-US"/>
                </w:rPr>
                <w:t>Global availability of biogenic CO₂ and implications for maritime decarbonization</w:t>
              </w:r>
              <w:r w:rsidRPr="00670221">
                <w:rPr>
                  <w:lang w:val="en-US"/>
                </w:rPr>
                <w:t xml:space="preserve">. Maersk Mc-Kinney </w:t>
              </w:r>
              <w:proofErr w:type="spellStart"/>
              <w:r w:rsidRPr="00670221">
                <w:rPr>
                  <w:lang w:val="en-US"/>
                </w:rPr>
                <w:t>Møller</w:t>
              </w:r>
              <w:proofErr w:type="spellEnd"/>
              <w:r w:rsidRPr="00670221">
                <w:rPr>
                  <w:lang w:val="en-US"/>
                </w:rPr>
                <w:t xml:space="preserve"> Center for Zero Carbon Shipping. Retrieved from </w:t>
              </w:r>
              <w:hyperlink r:id="rId130" w:history="1">
                <w:r w:rsidRPr="00670221">
                  <w:rPr>
                    <w:rStyle w:val="Hyperlink"/>
                    <w:lang w:val="en-US"/>
                  </w:rPr>
                  <w:t>https://cms.zerocarbonshipping.com/media/uploads/documents/Global-Availability-of-Biogenic-CO2-and-Implications-for-Maritime-Decarbonization.pdf</w:t>
                </w:r>
              </w:hyperlink>
            </w:p>
            <w:p w14:paraId="27ED1EF2" w14:textId="198B92BA" w:rsidR="00A85394" w:rsidRPr="00670221" w:rsidRDefault="00A85394" w:rsidP="00A85394">
              <w:pPr>
                <w:rPr>
                  <w:rStyle w:val="Hyperlink"/>
                  <w:lang w:val="en-US"/>
                </w:rPr>
              </w:pPr>
              <w:r w:rsidRPr="00670221">
                <w:rPr>
                  <w:lang w:val="en-US"/>
                </w:rPr>
                <w:lastRenderedPageBreak/>
                <w:t xml:space="preserve">McQueen, N., Gomes, K. V., McCormick, C., </w:t>
              </w:r>
              <w:proofErr w:type="spellStart"/>
              <w:r w:rsidRPr="00670221">
                <w:rPr>
                  <w:lang w:val="en-US"/>
                </w:rPr>
                <w:t>Blumanthal</w:t>
              </w:r>
              <w:proofErr w:type="spellEnd"/>
              <w:r w:rsidRPr="00670221">
                <w:rPr>
                  <w:lang w:val="en-US"/>
                </w:rPr>
                <w:t xml:space="preserve">, K., Pisciotta, M., &amp; Wilcox, J. (2021). A review of direct air capture (DAC): scaling up commercial technologies and innovating for the future. </w:t>
              </w:r>
              <w:r w:rsidRPr="00670221">
                <w:rPr>
                  <w:i/>
                  <w:iCs/>
                  <w:lang w:val="en-US"/>
                </w:rPr>
                <w:t>Progress in Energy</w:t>
              </w:r>
              <w:r w:rsidRPr="00670221">
                <w:rPr>
                  <w:lang w:val="en-US"/>
                </w:rPr>
                <w:t xml:space="preserve">, </w:t>
              </w:r>
              <w:r w:rsidRPr="00670221">
                <w:rPr>
                  <w:i/>
                  <w:iCs/>
                  <w:lang w:val="en-US"/>
                </w:rPr>
                <w:t>3</w:t>
              </w:r>
              <w:r w:rsidRPr="00670221">
                <w:rPr>
                  <w:lang w:val="en-US"/>
                </w:rPr>
                <w:t xml:space="preserve">(3), 032001. </w:t>
              </w:r>
              <w:hyperlink r:id="rId131" w:history="1">
                <w:r w:rsidRPr="00670221">
                  <w:rPr>
                    <w:rStyle w:val="Hyperlink"/>
                    <w:lang w:val="en-US"/>
                  </w:rPr>
                  <w:t>https://doi.org/10.1088/2516-1083/abf1ce</w:t>
                </w:r>
              </w:hyperlink>
            </w:p>
            <w:p w14:paraId="4EC8F717" w14:textId="77777777" w:rsidR="00A85394" w:rsidRPr="00670221" w:rsidRDefault="00A85394" w:rsidP="00A85394">
              <w:pPr>
                <w:rPr>
                  <w:lang w:val="en-US"/>
                </w:rPr>
              </w:pPr>
              <w:r w:rsidRPr="00670221">
                <w:rPr>
                  <w:lang w:val="en-US"/>
                </w:rPr>
                <w:t xml:space="preserve">Micheli, M., Moore, D. C., Bach, V., &amp; Finkbeiner, M. (2022). Life-Cycle Assessment of Power-to-Liquid Kerosene Produced from Renewable Electricity and CO2 from Direct Air Capture in Germany. </w:t>
              </w:r>
              <w:r w:rsidRPr="00670221">
                <w:rPr>
                  <w:i/>
                  <w:iCs/>
                  <w:lang w:val="en-US"/>
                </w:rPr>
                <w:t>Sustainability, 14</w:t>
              </w:r>
              <w:r w:rsidRPr="00670221">
                <w:rPr>
                  <w:lang w:val="en-US"/>
                </w:rPr>
                <w:t xml:space="preserve">(17), 10658. </w:t>
              </w:r>
              <w:hyperlink r:id="rId132" w:history="1">
                <w:r w:rsidRPr="00670221">
                  <w:rPr>
                    <w:rStyle w:val="Hyperlink"/>
                    <w:lang w:val="en-US"/>
                  </w:rPr>
                  <w:t>https://doi.org/10.3390/su141710658</w:t>
                </w:r>
              </w:hyperlink>
            </w:p>
            <w:p w14:paraId="0EBC0AA5" w14:textId="77777777" w:rsidR="00A85394" w:rsidRPr="00670221" w:rsidRDefault="00A85394" w:rsidP="00A85394">
              <w:pPr>
                <w:rPr>
                  <w:lang w:val="en-US"/>
                </w:rPr>
              </w:pPr>
              <w:r w:rsidRPr="00670221">
                <w:rPr>
                  <w:lang w:val="en-US"/>
                </w:rPr>
                <w:t xml:space="preserve">Mikhaylov, A., Moiseev, N., </w:t>
              </w:r>
              <w:proofErr w:type="spellStart"/>
              <w:r w:rsidRPr="00670221">
                <w:rPr>
                  <w:lang w:val="en-US"/>
                </w:rPr>
                <w:t>Алешин</w:t>
              </w:r>
              <w:proofErr w:type="spellEnd"/>
              <w:r w:rsidRPr="00670221">
                <w:rPr>
                  <w:lang w:val="en-US"/>
                </w:rPr>
                <w:t xml:space="preserve">, К. А., &amp; Burkhardt, T. (2020). Global climate change and greenhouse effect. </w:t>
              </w:r>
              <w:r w:rsidRPr="00670221">
                <w:rPr>
                  <w:i/>
                  <w:iCs/>
                  <w:lang w:val="en-US"/>
                </w:rPr>
                <w:t>Entrepreneurship and Sustainability Issues</w:t>
              </w:r>
              <w:r w:rsidRPr="00670221">
                <w:rPr>
                  <w:lang w:val="en-US"/>
                </w:rPr>
                <w:t xml:space="preserve">, </w:t>
              </w:r>
              <w:r w:rsidRPr="00670221">
                <w:rPr>
                  <w:i/>
                  <w:iCs/>
                  <w:lang w:val="en-US"/>
                </w:rPr>
                <w:t>7</w:t>
              </w:r>
              <w:r w:rsidRPr="00670221">
                <w:rPr>
                  <w:lang w:val="en-US"/>
                </w:rPr>
                <w:t xml:space="preserve">(4), 2897–2913. </w:t>
              </w:r>
              <w:hyperlink r:id="rId133" w:history="1">
                <w:r w:rsidRPr="00670221">
                  <w:rPr>
                    <w:rStyle w:val="Hyperlink"/>
                    <w:lang w:val="en-US"/>
                  </w:rPr>
                  <w:t>https://doi.org/10.9770/jesi.2020.7.4(21)</w:t>
                </w:r>
              </w:hyperlink>
            </w:p>
            <w:p w14:paraId="5EF114E3" w14:textId="77777777" w:rsidR="00A85394" w:rsidRPr="00670221" w:rsidRDefault="00A85394" w:rsidP="00A85394">
              <w:pPr>
                <w:rPr>
                  <w:rStyle w:val="Hyperlink"/>
                  <w:lang w:val="en-US"/>
                </w:rPr>
              </w:pPr>
              <w:r w:rsidRPr="00670221">
                <w:rPr>
                  <w:lang w:val="en-US"/>
                </w:rPr>
                <w:t xml:space="preserve">Mitchell, J. F. B. (1989). The “Greenhouse” effect and climate change. </w:t>
              </w:r>
              <w:r w:rsidRPr="00670221">
                <w:rPr>
                  <w:i/>
                  <w:iCs/>
                  <w:lang w:val="en-US"/>
                </w:rPr>
                <w:t>Reviews of Geophysics</w:t>
              </w:r>
              <w:r w:rsidRPr="00670221">
                <w:rPr>
                  <w:lang w:val="en-US"/>
                </w:rPr>
                <w:t xml:space="preserve">, </w:t>
              </w:r>
              <w:r w:rsidRPr="00670221">
                <w:rPr>
                  <w:i/>
                  <w:iCs/>
                  <w:lang w:val="en-US"/>
                </w:rPr>
                <w:t>27</w:t>
              </w:r>
              <w:r w:rsidRPr="00670221">
                <w:rPr>
                  <w:lang w:val="en-US"/>
                </w:rPr>
                <w:t xml:space="preserve">(1), 115–139. </w:t>
              </w:r>
              <w:hyperlink r:id="rId134" w:history="1">
                <w:r w:rsidRPr="00670221">
                  <w:rPr>
                    <w:rStyle w:val="Hyperlink"/>
                    <w:lang w:val="en-US"/>
                  </w:rPr>
                  <w:t>https://doi.org/10.1029/rg027i001p00115</w:t>
                </w:r>
              </w:hyperlink>
            </w:p>
            <w:p w14:paraId="61BB241A" w14:textId="77777777" w:rsidR="00A85394" w:rsidRPr="00670221" w:rsidRDefault="00A85394" w:rsidP="00A85394">
              <w:pPr>
                <w:rPr>
                  <w:lang w:val="en-US"/>
                </w:rPr>
              </w:pPr>
              <w:r w:rsidRPr="00670221">
                <w:rPr>
                  <w:lang w:val="en-US"/>
                </w:rPr>
                <w:t xml:space="preserve">Moretti, C., Patil, V., Falter, C., </w:t>
              </w:r>
              <w:proofErr w:type="spellStart"/>
              <w:r w:rsidRPr="00670221">
                <w:rPr>
                  <w:lang w:val="en-US"/>
                </w:rPr>
                <w:t>Geissbühler</w:t>
              </w:r>
              <w:proofErr w:type="spellEnd"/>
              <w:r w:rsidRPr="00670221">
                <w:rPr>
                  <w:lang w:val="en-US"/>
                </w:rPr>
                <w:t xml:space="preserve">, L., Patt, A., &amp; Steinfeld, A. (2023). Technical, economic and environmental analysis of solar thermochemical production of drop-in fuels. </w:t>
              </w:r>
              <w:r w:rsidRPr="00670221">
                <w:rPr>
                  <w:i/>
                  <w:iCs/>
                  <w:lang w:val="en-US"/>
                </w:rPr>
                <w:t>Science of the Total Environment, 901</w:t>
              </w:r>
              <w:r w:rsidRPr="00670221">
                <w:rPr>
                  <w:lang w:val="en-US"/>
                </w:rPr>
                <w:t xml:space="preserve">, 166005. </w:t>
              </w:r>
              <w:hyperlink r:id="rId135" w:history="1">
                <w:r w:rsidRPr="00670221">
                  <w:rPr>
                    <w:rStyle w:val="Hyperlink"/>
                    <w:lang w:val="en-US"/>
                  </w:rPr>
                  <w:t>https://doi.org/10.1016/j.scitotenv.2023.166005</w:t>
                </w:r>
              </w:hyperlink>
            </w:p>
            <w:p w14:paraId="52C6B818" w14:textId="4E4FC763" w:rsidR="00AF4660" w:rsidRPr="00670221" w:rsidRDefault="00AF4660" w:rsidP="00A85394">
              <w:pPr>
                <w:rPr>
                  <w:lang w:val="en-US"/>
                </w:rPr>
              </w:pPr>
              <w:proofErr w:type="spellStart"/>
              <w:r w:rsidRPr="00670221">
                <w:rPr>
                  <w:lang w:val="en-US"/>
                </w:rPr>
                <w:t>Mutrelle</w:t>
              </w:r>
              <w:proofErr w:type="spellEnd"/>
              <w:r w:rsidRPr="00670221">
                <w:rPr>
                  <w:lang w:val="en-US"/>
                </w:rPr>
                <w:t>, C. (2024). The challenges of scaling up e-kerosene production in Europe</w:t>
              </w:r>
              <w:r w:rsidRPr="00670221">
                <w:rPr>
                  <w:i/>
                  <w:iCs/>
                  <w:lang w:val="en-US"/>
                </w:rPr>
                <w:t>. In Transport &amp; Environment.</w:t>
              </w:r>
              <w:r w:rsidRPr="00670221">
                <w:rPr>
                  <w:lang w:val="en-US"/>
                </w:rPr>
                <w:t xml:space="preserve"> </w:t>
              </w:r>
              <w:hyperlink r:id="rId136" w:history="1">
                <w:r w:rsidRPr="00670221">
                  <w:rPr>
                    <w:rStyle w:val="Hyperlink"/>
                    <w:lang w:val="en-US"/>
                  </w:rPr>
                  <w:t>https://www.transportenvironment.org/uploads/files/2024_01_E-kerosene_Tracker_TE_2024-04-29-155012_cevi.pdf</w:t>
                </w:r>
              </w:hyperlink>
            </w:p>
            <w:p w14:paraId="6364D8E7" w14:textId="3ED02921" w:rsidR="00A85394" w:rsidRPr="00670221" w:rsidRDefault="00A85394" w:rsidP="00A85394">
              <w:pPr>
                <w:rPr>
                  <w:lang w:val="en-US"/>
                </w:rPr>
              </w:pPr>
              <w:r w:rsidRPr="00670221">
                <w:rPr>
                  <w:lang w:val="en-US"/>
                </w:rPr>
                <w:t xml:space="preserve">National Academies of Sciences, Engineering, and Medicine. (2019). </w:t>
              </w:r>
              <w:r w:rsidRPr="00670221">
                <w:rPr>
                  <w:i/>
                  <w:iCs/>
                  <w:lang w:val="en-US"/>
                </w:rPr>
                <w:t>Negative Emissions Technologies and Reliable Sequestration: a research agenda</w:t>
              </w:r>
              <w:r w:rsidRPr="00670221">
                <w:rPr>
                  <w:lang w:val="en-US"/>
                </w:rPr>
                <w:t xml:space="preserve">. The National Academies Press. </w:t>
              </w:r>
              <w:hyperlink r:id="rId137" w:history="1">
                <w:r w:rsidRPr="00670221">
                  <w:rPr>
                    <w:rStyle w:val="Hyperlink"/>
                    <w:lang w:val="en-US"/>
                  </w:rPr>
                  <w:t>https://doi.org/10.17226/25259</w:t>
                </w:r>
              </w:hyperlink>
            </w:p>
            <w:p w14:paraId="2EE1FF7E" w14:textId="77777777" w:rsidR="00A85394" w:rsidRPr="00670221" w:rsidRDefault="00A85394" w:rsidP="00A85394">
              <w:pPr>
                <w:rPr>
                  <w:lang w:val="en-US"/>
                </w:rPr>
              </w:pPr>
              <w:r w:rsidRPr="00670221">
                <w:rPr>
                  <w:lang w:val="en-US"/>
                </w:rPr>
                <w:t xml:space="preserve">National Oceanic and Atmospheric Administration. (2023). Greenhouse gases continued to increase rapidly in 2022. </w:t>
              </w:r>
              <w:hyperlink r:id="rId138" w:history="1">
                <w:r w:rsidRPr="00670221">
                  <w:rPr>
                    <w:rStyle w:val="Hyperlink"/>
                    <w:i/>
                    <w:iCs/>
                    <w:lang w:val="en-US"/>
                  </w:rPr>
                  <w:t>www.noaa.gov</w:t>
                </w:r>
              </w:hyperlink>
              <w:r w:rsidRPr="00670221">
                <w:rPr>
                  <w:lang w:val="en-US"/>
                </w:rPr>
                <w:t>.</w:t>
              </w:r>
            </w:p>
            <w:p w14:paraId="2F135BFE" w14:textId="77777777" w:rsidR="00A85394" w:rsidRPr="00670221" w:rsidRDefault="00A85394" w:rsidP="00A85394">
              <w:pPr>
                <w:rPr>
                  <w:lang w:val="en-US"/>
                </w:rPr>
              </w:pPr>
              <w:r w:rsidRPr="00670221">
                <w:rPr>
                  <w:lang w:val="en-US"/>
                </w:rPr>
                <w:t xml:space="preserve">Neuwirth, M., </w:t>
              </w:r>
              <w:proofErr w:type="spellStart"/>
              <w:r w:rsidRPr="00670221">
                <w:rPr>
                  <w:lang w:val="en-US"/>
                </w:rPr>
                <w:t>Fleiter</w:t>
              </w:r>
              <w:proofErr w:type="spellEnd"/>
              <w:r w:rsidRPr="00670221">
                <w:rPr>
                  <w:lang w:val="en-US"/>
                </w:rPr>
                <w:t xml:space="preserve">, T., Manz, P., &amp; Hofmann, R. (2022). The future potential hydrogen demand in energy-intensive industries - a site-specific approach applied to Germany. </w:t>
              </w:r>
              <w:r w:rsidRPr="00670221">
                <w:rPr>
                  <w:i/>
                  <w:iCs/>
                  <w:lang w:val="en-US"/>
                </w:rPr>
                <w:t>Energy Conversion and Management</w:t>
              </w:r>
              <w:r w:rsidRPr="00670221">
                <w:rPr>
                  <w:lang w:val="en-US"/>
                </w:rPr>
                <w:t xml:space="preserve">, </w:t>
              </w:r>
              <w:r w:rsidRPr="00670221">
                <w:rPr>
                  <w:i/>
                  <w:iCs/>
                  <w:lang w:val="en-US"/>
                </w:rPr>
                <w:t>252</w:t>
              </w:r>
              <w:r w:rsidRPr="00670221">
                <w:rPr>
                  <w:lang w:val="en-US"/>
                </w:rPr>
                <w:t xml:space="preserve">, 115052. </w:t>
              </w:r>
              <w:hyperlink r:id="rId139" w:history="1">
                <w:r w:rsidRPr="00670221">
                  <w:rPr>
                    <w:rStyle w:val="Hyperlink"/>
                    <w:lang w:val="en-US"/>
                  </w:rPr>
                  <w:t>https://doi.org/10.1016/j.enconman.2021.115052</w:t>
                </w:r>
              </w:hyperlink>
            </w:p>
            <w:p w14:paraId="2A142226" w14:textId="65F68FC6" w:rsidR="009B37A4" w:rsidRPr="00670221" w:rsidRDefault="009B37A4" w:rsidP="00A85394">
              <w:pPr>
                <w:rPr>
                  <w:lang w:val="en-US"/>
                </w:rPr>
              </w:pPr>
              <w:r w:rsidRPr="00670221">
                <w:rPr>
                  <w:lang w:val="en-US"/>
                </w:rPr>
                <w:t xml:space="preserve">Nguyen, T., </w:t>
              </w:r>
              <w:proofErr w:type="spellStart"/>
              <w:r w:rsidRPr="00670221">
                <w:rPr>
                  <w:lang w:val="en-US"/>
                </w:rPr>
                <w:t>Abdin</w:t>
              </w:r>
              <w:proofErr w:type="spellEnd"/>
              <w:r w:rsidRPr="00670221">
                <w:rPr>
                  <w:lang w:val="en-US"/>
                </w:rPr>
                <w:t xml:space="preserve">, Z., Holm, T., &amp; Mérida, W. (2019). Grid-connected hydrogen production via large-scale water electrolysis. </w:t>
              </w:r>
              <w:r w:rsidRPr="00670221">
                <w:rPr>
                  <w:i/>
                  <w:iCs/>
                  <w:lang w:val="en-US"/>
                </w:rPr>
                <w:t>Energy Conversion and Management, 200</w:t>
              </w:r>
              <w:r w:rsidRPr="00670221">
                <w:rPr>
                  <w:lang w:val="en-US"/>
                </w:rPr>
                <w:t xml:space="preserve">, 112108. </w:t>
              </w:r>
              <w:hyperlink r:id="rId140" w:history="1">
                <w:r w:rsidRPr="00670221">
                  <w:rPr>
                    <w:rStyle w:val="Hyperlink"/>
                    <w:lang w:val="en-US"/>
                  </w:rPr>
                  <w:t>https://doi.org/10.1016/j.enconman.2019.112108</w:t>
                </w:r>
              </w:hyperlink>
            </w:p>
            <w:p w14:paraId="730805BD" w14:textId="77777777" w:rsidR="009F0339" w:rsidRPr="00670221" w:rsidRDefault="009F0339" w:rsidP="009F0339">
              <w:pPr>
                <w:rPr>
                  <w:lang w:val="en-US"/>
                </w:rPr>
              </w:pPr>
              <w:r w:rsidRPr="00670221">
                <w:rPr>
                  <w:lang w:val="en-US"/>
                </w:rPr>
                <w:t xml:space="preserve">van ‘t </w:t>
              </w:r>
              <w:proofErr w:type="spellStart"/>
              <w:r w:rsidRPr="00670221">
                <w:rPr>
                  <w:lang w:val="en-US"/>
                </w:rPr>
                <w:t>Noordende</w:t>
              </w:r>
              <w:proofErr w:type="spellEnd"/>
              <w:r w:rsidRPr="00670221">
                <w:rPr>
                  <w:lang w:val="en-US"/>
                </w:rPr>
                <w:t xml:space="preserve">, H., Van Berkel, F., &amp; </w:t>
              </w:r>
              <w:proofErr w:type="spellStart"/>
              <w:r w:rsidRPr="00670221">
                <w:rPr>
                  <w:lang w:val="en-US"/>
                </w:rPr>
                <w:t>Stodolny</w:t>
              </w:r>
              <w:proofErr w:type="spellEnd"/>
              <w:r w:rsidRPr="00670221">
                <w:rPr>
                  <w:lang w:val="en-US"/>
                </w:rPr>
                <w:t xml:space="preserve">, M. (2023). Next Level Solid Oxide Electrolysis. In </w:t>
              </w:r>
              <w:r w:rsidRPr="00670221">
                <w:rPr>
                  <w:i/>
                  <w:iCs/>
                  <w:lang w:val="en-US"/>
                </w:rPr>
                <w:t>Institute for Sustainable Process Technology</w:t>
              </w:r>
              <w:r w:rsidRPr="00670221">
                <w:rPr>
                  <w:lang w:val="en-US"/>
                </w:rPr>
                <w:t xml:space="preserve">. Institute for Sustainable Process Technology (ISPT). Retrieved July 2, 2024, from </w:t>
              </w:r>
              <w:hyperlink r:id="rId141" w:history="1">
                <w:r w:rsidRPr="00670221">
                  <w:rPr>
                    <w:rStyle w:val="Hyperlink"/>
                    <w:lang w:val="en-US"/>
                  </w:rPr>
                  <w:t>https://ispt.eu/media/20230508-FINAL-SOE-public-report-ISPT.pdf</w:t>
                </w:r>
              </w:hyperlink>
            </w:p>
            <w:p w14:paraId="331D0B42" w14:textId="7BF80B4C" w:rsidR="001A5DAF" w:rsidRPr="00670221" w:rsidRDefault="001A5DAF" w:rsidP="00A85394">
              <w:pPr>
                <w:rPr>
                  <w:lang w:val="en-US"/>
                </w:rPr>
              </w:pPr>
              <w:proofErr w:type="spellStart"/>
              <w:r w:rsidRPr="00670221">
                <w:rPr>
                  <w:lang w:val="en-US"/>
                </w:rPr>
                <w:t>Ordóñez</w:t>
              </w:r>
              <w:proofErr w:type="spellEnd"/>
              <w:r w:rsidRPr="00670221">
                <w:rPr>
                  <w:lang w:val="en-US"/>
                </w:rPr>
                <w:t xml:space="preserve">, D. F., </w:t>
              </w:r>
              <w:proofErr w:type="spellStart"/>
              <w:r w:rsidRPr="00670221">
                <w:rPr>
                  <w:lang w:val="en-US"/>
                </w:rPr>
                <w:t>Halfdanarson</w:t>
              </w:r>
              <w:proofErr w:type="spellEnd"/>
              <w:r w:rsidRPr="00670221">
                <w:rPr>
                  <w:lang w:val="en-US"/>
                </w:rPr>
                <w:t xml:space="preserve">, T., </w:t>
              </w:r>
              <w:proofErr w:type="spellStart"/>
              <w:r w:rsidRPr="00670221">
                <w:rPr>
                  <w:lang w:val="en-US"/>
                </w:rPr>
                <w:t>Ganzer</w:t>
              </w:r>
              <w:proofErr w:type="spellEnd"/>
              <w:r w:rsidRPr="00670221">
                <w:rPr>
                  <w:lang w:val="en-US"/>
                </w:rPr>
                <w:t>, C., Shah, N., Mac Dowell, N., &amp; Guillén-</w:t>
              </w:r>
              <w:proofErr w:type="spellStart"/>
              <w:r w:rsidRPr="00670221">
                <w:rPr>
                  <w:lang w:val="en-US"/>
                </w:rPr>
                <w:t>Gosálbez</w:t>
              </w:r>
              <w:proofErr w:type="spellEnd"/>
              <w:r w:rsidRPr="00670221">
                <w:rPr>
                  <w:lang w:val="en-US"/>
                </w:rPr>
                <w:t>, G. (2022). Evaluation of the potential use of e-fuels in the European aviation sector: a comprehensive economic and environmental assessment including externalities.</w:t>
              </w:r>
              <w:r w:rsidRPr="00670221">
                <w:rPr>
                  <w:i/>
                  <w:iCs/>
                  <w:lang w:val="en-US"/>
                </w:rPr>
                <w:t xml:space="preserve"> Sustainable Energy &amp; Fuels, 6</w:t>
              </w:r>
              <w:r w:rsidRPr="00670221">
                <w:rPr>
                  <w:lang w:val="en-US"/>
                </w:rPr>
                <w:t xml:space="preserve">(20), 4749–4764. </w:t>
              </w:r>
              <w:hyperlink r:id="rId142" w:history="1">
                <w:r w:rsidR="00941EB4" w:rsidRPr="00670221">
                  <w:rPr>
                    <w:rStyle w:val="Hyperlink"/>
                    <w:lang w:val="en-US"/>
                  </w:rPr>
                  <w:t>https://doi.org/10.1039/d2se00757f</w:t>
                </w:r>
              </w:hyperlink>
            </w:p>
            <w:p w14:paraId="26E423F2" w14:textId="1440DEBE" w:rsidR="0060428B" w:rsidRPr="00670221" w:rsidRDefault="0060428B" w:rsidP="00A85394">
              <w:pPr>
                <w:rPr>
                  <w:lang w:val="en-US"/>
                </w:rPr>
              </w:pPr>
              <w:proofErr w:type="spellStart"/>
              <w:r w:rsidRPr="00670221">
                <w:rPr>
                  <w:lang w:val="en-US"/>
                </w:rPr>
                <w:t>Oyewo</w:t>
              </w:r>
              <w:proofErr w:type="spellEnd"/>
              <w:r w:rsidRPr="00670221">
                <w:rPr>
                  <w:lang w:val="en-US"/>
                </w:rPr>
                <w:t xml:space="preserve">, A. S., Lopez, G., ElSayed, M., </w:t>
              </w:r>
              <w:proofErr w:type="spellStart"/>
              <w:r w:rsidRPr="00670221">
                <w:rPr>
                  <w:lang w:val="en-US"/>
                </w:rPr>
                <w:t>Galimova</w:t>
              </w:r>
              <w:proofErr w:type="spellEnd"/>
              <w:r w:rsidRPr="00670221">
                <w:rPr>
                  <w:lang w:val="en-US"/>
                </w:rPr>
                <w:t xml:space="preserve">, T., &amp; Breyer, C. (2024). Power-to-X Economy: Green e-hydrogen, e-fuels, e-chemicals, and e-materials opportunities in Africa. </w:t>
              </w:r>
              <w:r w:rsidRPr="00670221">
                <w:rPr>
                  <w:i/>
                  <w:iCs/>
                  <w:lang w:val="en-US"/>
                </w:rPr>
                <w:t>Energy Reports, 12</w:t>
              </w:r>
              <w:r w:rsidRPr="00670221">
                <w:rPr>
                  <w:lang w:val="en-US"/>
                </w:rPr>
                <w:t xml:space="preserve">, 2026–2048. </w:t>
              </w:r>
              <w:hyperlink r:id="rId143" w:history="1">
                <w:r w:rsidRPr="00670221">
                  <w:rPr>
                    <w:rStyle w:val="Hyperlink"/>
                    <w:lang w:val="en-US"/>
                  </w:rPr>
                  <w:t>https://doi.org/10.1016/j.egyr.2024.08.011</w:t>
                </w:r>
              </w:hyperlink>
            </w:p>
            <w:p w14:paraId="2B0B89E7" w14:textId="53600D1E" w:rsidR="00CF156F" w:rsidRPr="00670221" w:rsidRDefault="00CF156F" w:rsidP="00A85394">
              <w:pPr>
                <w:rPr>
                  <w:lang w:val="en-US"/>
                </w:rPr>
              </w:pPr>
              <w:r w:rsidRPr="00670221">
                <w:rPr>
                  <w:lang w:val="en-US"/>
                </w:rPr>
                <w:lastRenderedPageBreak/>
                <w:t xml:space="preserve">Page, M. J., Moher, D., Bossuyt, P. M., </w:t>
              </w:r>
              <w:proofErr w:type="spellStart"/>
              <w:r w:rsidRPr="00670221">
                <w:rPr>
                  <w:lang w:val="en-US"/>
                </w:rPr>
                <w:t>Boutron</w:t>
              </w:r>
              <w:proofErr w:type="spellEnd"/>
              <w:r w:rsidRPr="00670221">
                <w:rPr>
                  <w:lang w:val="en-US"/>
                </w:rPr>
                <w:t xml:space="preserve">, I., Hoffmann, T. C., Mulrow, C. D., </w:t>
              </w:r>
              <w:proofErr w:type="spellStart"/>
              <w:r w:rsidRPr="00670221">
                <w:rPr>
                  <w:lang w:val="en-US"/>
                </w:rPr>
                <w:t>Shamseer</w:t>
              </w:r>
              <w:proofErr w:type="spellEnd"/>
              <w:r w:rsidRPr="00670221">
                <w:rPr>
                  <w:lang w:val="en-US"/>
                </w:rPr>
                <w:t xml:space="preserve">, L., Tetzlaff, J. M., </w:t>
              </w:r>
              <w:proofErr w:type="spellStart"/>
              <w:r w:rsidRPr="00670221">
                <w:rPr>
                  <w:lang w:val="en-US"/>
                </w:rPr>
                <w:t>Akl</w:t>
              </w:r>
              <w:proofErr w:type="spellEnd"/>
              <w:r w:rsidRPr="00670221">
                <w:rPr>
                  <w:lang w:val="en-US"/>
                </w:rPr>
                <w:t xml:space="preserve">, E. A., Brennan, S. E., Chou, R., Glanville, J., Grimshaw, J. M., </w:t>
              </w:r>
              <w:proofErr w:type="spellStart"/>
              <w:r w:rsidRPr="00670221">
                <w:rPr>
                  <w:lang w:val="en-US"/>
                </w:rPr>
                <w:t>Hróbjartsson</w:t>
              </w:r>
              <w:proofErr w:type="spellEnd"/>
              <w:r w:rsidRPr="00670221">
                <w:rPr>
                  <w:lang w:val="en-US"/>
                </w:rPr>
                <w:t xml:space="preserve">, A., Lalu, M. M., Li, T., Loder, E. W., Mayo-Wilson, E., McDonald, S., . . . McKenzie, J. E. (2021). PRISMA 2020 explanation and elaboration: updated guidance and exemplars for reporting systematic reviews. </w:t>
              </w:r>
              <w:r w:rsidRPr="00670221">
                <w:rPr>
                  <w:i/>
                  <w:iCs/>
                  <w:lang w:val="en-US"/>
                </w:rPr>
                <w:t>BMJ</w:t>
              </w:r>
              <w:r w:rsidRPr="00670221">
                <w:rPr>
                  <w:lang w:val="en-US"/>
                </w:rPr>
                <w:t xml:space="preserve">, n160. </w:t>
              </w:r>
              <w:hyperlink r:id="rId144" w:history="1">
                <w:r w:rsidRPr="00670221">
                  <w:rPr>
                    <w:rStyle w:val="Hyperlink"/>
                    <w:lang w:val="en-US"/>
                  </w:rPr>
                  <w:t>https://doi.org/10.1136/bmj.n160</w:t>
                </w:r>
              </w:hyperlink>
            </w:p>
            <w:p w14:paraId="77CA187B" w14:textId="4C105EA4" w:rsidR="00CE21B0" w:rsidRPr="00670221" w:rsidRDefault="00CE21B0" w:rsidP="00A85394">
              <w:pPr>
                <w:rPr>
                  <w:lang w:val="en-US"/>
                </w:rPr>
              </w:pPr>
              <w:r w:rsidRPr="00670221">
                <w:rPr>
                  <w:lang w:val="en-US"/>
                </w:rPr>
                <w:t xml:space="preserve">Paez, A. (2017). Grey literature: An important resource in systematic reviews. </w:t>
              </w:r>
              <w:r w:rsidRPr="00670221">
                <w:rPr>
                  <w:i/>
                  <w:iCs/>
                  <w:lang w:val="en-US"/>
                </w:rPr>
                <w:t>Journal of Evidence-Based Medicine</w:t>
              </w:r>
              <w:r w:rsidRPr="00670221">
                <w:rPr>
                  <w:lang w:val="en-US"/>
                </w:rPr>
                <w:t xml:space="preserve">. </w:t>
              </w:r>
              <w:hyperlink r:id="rId145" w:history="1">
                <w:r w:rsidRPr="00670221">
                  <w:rPr>
                    <w:rStyle w:val="Hyperlink"/>
                    <w:lang w:val="en-US"/>
                  </w:rPr>
                  <w:t>https://doi.org/10.1111/jebm.12265</w:t>
                </w:r>
              </w:hyperlink>
            </w:p>
            <w:p w14:paraId="14BCE33D" w14:textId="19554879" w:rsidR="00A85394" w:rsidRPr="00670221" w:rsidRDefault="00A85394" w:rsidP="00A85394">
              <w:pPr>
                <w:rPr>
                  <w:lang w:val="en-US"/>
                </w:rPr>
              </w:pPr>
              <w:proofErr w:type="spellStart"/>
              <w:r w:rsidRPr="00670221">
                <w:rPr>
                  <w:lang w:val="en-US"/>
                </w:rPr>
                <w:t>Paltsev</w:t>
              </w:r>
              <w:proofErr w:type="spellEnd"/>
              <w:r w:rsidRPr="00670221">
                <w:rPr>
                  <w:lang w:val="en-US"/>
                </w:rPr>
                <w:t xml:space="preserve">, S., Morris, J., Kheshgi, H. S., &amp; Herzog, H. J. (2021). Hard-to-Abate Sectors: The role of industrial carbon capture and storage (CCS) in emission mitigation. </w:t>
              </w:r>
              <w:r w:rsidRPr="00670221">
                <w:rPr>
                  <w:i/>
                  <w:iCs/>
                  <w:lang w:val="en-US"/>
                </w:rPr>
                <w:t>Applied Energy</w:t>
              </w:r>
              <w:r w:rsidRPr="00670221">
                <w:rPr>
                  <w:lang w:val="en-US"/>
                </w:rPr>
                <w:t xml:space="preserve">, </w:t>
              </w:r>
              <w:r w:rsidRPr="00670221">
                <w:rPr>
                  <w:i/>
                  <w:iCs/>
                  <w:lang w:val="en-US"/>
                </w:rPr>
                <w:t>300</w:t>
              </w:r>
              <w:r w:rsidRPr="00670221">
                <w:rPr>
                  <w:lang w:val="en-US"/>
                </w:rPr>
                <w:t xml:space="preserve">, 117322. </w:t>
              </w:r>
              <w:hyperlink r:id="rId146" w:history="1">
                <w:r w:rsidRPr="00670221">
                  <w:rPr>
                    <w:rStyle w:val="Hyperlink"/>
                    <w:lang w:val="en-US"/>
                  </w:rPr>
                  <w:t>https://doi.org/10.1016/j.apenergy.2021.117322</w:t>
                </w:r>
              </w:hyperlink>
            </w:p>
            <w:p w14:paraId="2D6644F9" w14:textId="77777777" w:rsidR="00A85394" w:rsidRPr="00670221" w:rsidRDefault="00A85394" w:rsidP="00A85394">
              <w:pPr>
                <w:rPr>
                  <w:lang w:val="en-US"/>
                </w:rPr>
              </w:pPr>
              <w:r w:rsidRPr="00670221">
                <w:rPr>
                  <w:lang w:val="en-US"/>
                </w:rPr>
                <w:t xml:space="preserve">Peacock, J., Cooper, R., Waller, N., &amp; Richardson, G. (2024). </w:t>
              </w:r>
              <w:proofErr w:type="spellStart"/>
              <w:r w:rsidRPr="00670221">
                <w:rPr>
                  <w:lang w:val="en-US"/>
                </w:rPr>
                <w:t>Decarbonising</w:t>
              </w:r>
              <w:proofErr w:type="spellEnd"/>
              <w:r w:rsidRPr="00670221">
                <w:rPr>
                  <w:lang w:val="en-US"/>
                </w:rPr>
                <w:t xml:space="preserve"> aviation at scale through synthesis of sustainable e-fuel: A techno-economic assessment. </w:t>
              </w:r>
              <w:r w:rsidRPr="00670221">
                <w:rPr>
                  <w:i/>
                  <w:iCs/>
                  <w:lang w:val="en-US"/>
                </w:rPr>
                <w:t>International Journal of Hydrogen Energy</w:t>
              </w:r>
              <w:r w:rsidRPr="00670221">
                <w:rPr>
                  <w:lang w:val="en-US"/>
                </w:rPr>
                <w:t xml:space="preserve">, </w:t>
              </w:r>
              <w:r w:rsidRPr="00670221">
                <w:rPr>
                  <w:i/>
                  <w:iCs/>
                  <w:lang w:val="en-US"/>
                </w:rPr>
                <w:t>50</w:t>
              </w:r>
              <w:r w:rsidRPr="00670221">
                <w:rPr>
                  <w:lang w:val="en-US"/>
                </w:rPr>
                <w:t xml:space="preserve">, 869–890. </w:t>
              </w:r>
              <w:hyperlink r:id="rId147" w:history="1">
                <w:r w:rsidRPr="00670221">
                  <w:rPr>
                    <w:rStyle w:val="Hyperlink"/>
                    <w:lang w:val="en-US"/>
                  </w:rPr>
                  <w:t>https://doi.org/10.1016/j.ijhydene.2023.09.094</w:t>
                </w:r>
              </w:hyperlink>
            </w:p>
            <w:p w14:paraId="4770C592" w14:textId="77777777" w:rsidR="00A85394" w:rsidRPr="00670221" w:rsidRDefault="00A85394" w:rsidP="00A85394">
              <w:pPr>
                <w:rPr>
                  <w:rStyle w:val="Hyperlink"/>
                  <w:lang w:val="en-US"/>
                </w:rPr>
              </w:pPr>
              <w:r w:rsidRPr="00670221">
                <w:rPr>
                  <w:lang w:val="en-US"/>
                </w:rPr>
                <w:t>Pio, D., Vilas-Boas, A., Araújo, V., Rodrigues, N. F. C., &amp; Mendes, A. (2023). Decarbonizing the aviation sector with Electro Sustainable Aviation Fuel (</w:t>
              </w:r>
              <w:proofErr w:type="spellStart"/>
              <w:r w:rsidRPr="00670221">
                <w:rPr>
                  <w:lang w:val="en-US"/>
                </w:rPr>
                <w:t>eSAF</w:t>
              </w:r>
              <w:proofErr w:type="spellEnd"/>
              <w:r w:rsidRPr="00670221">
                <w:rPr>
                  <w:lang w:val="en-US"/>
                </w:rPr>
                <w:t xml:space="preserve">) from biogenic CO2 captured at pulp mills. </w:t>
              </w:r>
              <w:r w:rsidRPr="00670221">
                <w:rPr>
                  <w:i/>
                  <w:iCs/>
                  <w:lang w:val="en-US"/>
                </w:rPr>
                <w:t>Chemical Engineering Journal</w:t>
              </w:r>
              <w:r w:rsidRPr="00670221">
                <w:rPr>
                  <w:lang w:val="en-US"/>
                </w:rPr>
                <w:t xml:space="preserve">, </w:t>
              </w:r>
              <w:r w:rsidRPr="00670221">
                <w:rPr>
                  <w:i/>
                  <w:iCs/>
                  <w:lang w:val="en-US"/>
                </w:rPr>
                <w:t>463</w:t>
              </w:r>
              <w:r w:rsidRPr="00670221">
                <w:rPr>
                  <w:lang w:val="en-US"/>
                </w:rPr>
                <w:t xml:space="preserve">, 142317. </w:t>
              </w:r>
              <w:hyperlink r:id="rId148" w:history="1">
                <w:r w:rsidRPr="00670221">
                  <w:rPr>
                    <w:rStyle w:val="Hyperlink"/>
                    <w:lang w:val="en-US"/>
                  </w:rPr>
                  <w:t>https://doi.org/10.1016/j.cej.2023.142317</w:t>
                </w:r>
              </w:hyperlink>
            </w:p>
            <w:p w14:paraId="4C5845F5" w14:textId="77777777" w:rsidR="00A85394" w:rsidRPr="00670221" w:rsidRDefault="00A85394" w:rsidP="00A85394">
              <w:pPr>
                <w:rPr>
                  <w:lang w:val="en-US"/>
                </w:rPr>
              </w:pPr>
              <w:r w:rsidRPr="00670221">
                <w:rPr>
                  <w:lang w:val="en-US"/>
                </w:rPr>
                <w:t>Prats-</w:t>
              </w:r>
              <w:proofErr w:type="spellStart"/>
              <w:r w:rsidRPr="00670221">
                <w:rPr>
                  <w:lang w:val="en-US"/>
                </w:rPr>
                <w:t>Salvado</w:t>
              </w:r>
              <w:proofErr w:type="spellEnd"/>
              <w:r w:rsidRPr="00670221">
                <w:rPr>
                  <w:lang w:val="en-US"/>
                </w:rPr>
                <w:t xml:space="preserve">, E., </w:t>
              </w:r>
              <w:proofErr w:type="spellStart"/>
              <w:r w:rsidRPr="00670221">
                <w:rPr>
                  <w:lang w:val="en-US"/>
                </w:rPr>
                <w:t>Monnerie</w:t>
              </w:r>
              <w:proofErr w:type="spellEnd"/>
              <w:r w:rsidRPr="00670221">
                <w:rPr>
                  <w:lang w:val="en-US"/>
                </w:rPr>
                <w:t xml:space="preserve">, N., &amp; Sattler, C. (2022). Techno-Economic assessment of the integration of direct air capture and the production of solar fuels. </w:t>
              </w:r>
              <w:r w:rsidRPr="00670221">
                <w:rPr>
                  <w:i/>
                  <w:iCs/>
                  <w:lang w:val="en-US"/>
                </w:rPr>
                <w:t>Energies, 15</w:t>
              </w:r>
              <w:r w:rsidRPr="00670221">
                <w:rPr>
                  <w:lang w:val="en-US"/>
                </w:rPr>
                <w:t xml:space="preserve">(14), 5017. </w:t>
              </w:r>
              <w:hyperlink r:id="rId149" w:history="1">
                <w:r w:rsidRPr="00670221">
                  <w:rPr>
                    <w:rStyle w:val="Hyperlink"/>
                    <w:lang w:val="en-US"/>
                  </w:rPr>
                  <w:t>https://doi.org/10.3390/en15145017</w:t>
                </w:r>
              </w:hyperlink>
            </w:p>
            <w:p w14:paraId="614FA46B" w14:textId="34CD9AF1" w:rsidR="0008785D" w:rsidRPr="00670221" w:rsidRDefault="0008785D" w:rsidP="00A85394">
              <w:pPr>
                <w:rPr>
                  <w:lang w:val="en-US"/>
                </w:rPr>
              </w:pPr>
              <w:proofErr w:type="spellStart"/>
              <w:r w:rsidRPr="00670221">
                <w:rPr>
                  <w:lang w:val="en-US"/>
                </w:rPr>
                <w:t>Purolite</w:t>
              </w:r>
              <w:proofErr w:type="spellEnd"/>
              <w:r w:rsidRPr="00670221">
                <w:rPr>
                  <w:lang w:val="en-US"/>
                </w:rPr>
                <w:t xml:space="preserve">. (2024, </w:t>
              </w:r>
              <w:r w:rsidR="007422F4" w:rsidRPr="00670221">
                <w:rPr>
                  <w:lang w:val="en-US"/>
                </w:rPr>
                <w:t>June 18</w:t>
              </w:r>
              <w:r w:rsidRPr="00670221">
                <w:rPr>
                  <w:lang w:val="en-US"/>
                </w:rPr>
                <w:t xml:space="preserve">). </w:t>
              </w:r>
              <w:proofErr w:type="spellStart"/>
              <w:r w:rsidRPr="00670221">
                <w:rPr>
                  <w:lang w:val="en-US"/>
                </w:rPr>
                <w:t>Purolite</w:t>
              </w:r>
              <w:proofErr w:type="spellEnd"/>
              <w:r w:rsidRPr="00670221">
                <w:rPr>
                  <w:lang w:val="en-US"/>
                </w:rPr>
                <w:t xml:space="preserve"> announces development agreement with Skytree to commercialize CO₂ capture technology. </w:t>
              </w:r>
              <w:proofErr w:type="spellStart"/>
              <w:r w:rsidRPr="00670221">
                <w:rPr>
                  <w:lang w:val="en-US"/>
                </w:rPr>
                <w:t>Purolite</w:t>
              </w:r>
              <w:proofErr w:type="spellEnd"/>
              <w:r w:rsidRPr="00670221">
                <w:rPr>
                  <w:lang w:val="en-US"/>
                </w:rPr>
                <w:t xml:space="preserve">. </w:t>
              </w:r>
              <w:hyperlink r:id="rId150" w:history="1">
                <w:r w:rsidRPr="00670221">
                  <w:rPr>
                    <w:rStyle w:val="Hyperlink"/>
                    <w:lang w:val="en-US"/>
                  </w:rPr>
                  <w:t>https://www.purolite.com/index/Company/News-and-Events/news/skytree-development-agreement</w:t>
                </w:r>
              </w:hyperlink>
            </w:p>
            <w:p w14:paraId="7180B2A0" w14:textId="2F5957B4" w:rsidR="00A85394" w:rsidRPr="00670221" w:rsidRDefault="00A85394" w:rsidP="00A85394">
              <w:pPr>
                <w:rPr>
                  <w:lang w:val="en-US"/>
                </w:rPr>
              </w:pPr>
              <w:r w:rsidRPr="00670221">
                <w:rPr>
                  <w:lang w:val="en-US"/>
                </w:rPr>
                <w:t xml:space="preserve">Rivard, E., Trudeau, M., &amp; </w:t>
              </w:r>
              <w:proofErr w:type="spellStart"/>
              <w:r w:rsidRPr="00670221">
                <w:rPr>
                  <w:lang w:val="en-US"/>
                </w:rPr>
                <w:t>Zaghib</w:t>
              </w:r>
              <w:proofErr w:type="spellEnd"/>
              <w:r w:rsidRPr="00670221">
                <w:rPr>
                  <w:lang w:val="en-US"/>
                </w:rPr>
                <w:t xml:space="preserve">, K. (2019). Hydrogen Storage for mobility: a review. Materials, 12(12), 1973. </w:t>
              </w:r>
              <w:hyperlink r:id="rId151" w:history="1">
                <w:r w:rsidRPr="00670221">
                  <w:rPr>
                    <w:rStyle w:val="Hyperlink"/>
                    <w:lang w:val="en-US"/>
                  </w:rPr>
                  <w:t>https://doi.org/10.3390/ma12121973</w:t>
                </w:r>
              </w:hyperlink>
            </w:p>
            <w:p w14:paraId="7151902B" w14:textId="77777777" w:rsidR="00A85394" w:rsidRPr="00670221" w:rsidRDefault="00A85394" w:rsidP="00A85394">
              <w:pPr>
                <w:rPr>
                  <w:lang w:val="en-US"/>
                </w:rPr>
              </w:pPr>
              <w:r w:rsidRPr="00670221">
                <w:rPr>
                  <w:lang w:val="en-US"/>
                </w:rPr>
                <w:t>Rojas-</w:t>
              </w:r>
              <w:proofErr w:type="spellStart"/>
              <w:r w:rsidRPr="00670221">
                <w:rPr>
                  <w:lang w:val="en-US"/>
                </w:rPr>
                <w:t>Michaga</w:t>
              </w:r>
              <w:proofErr w:type="spellEnd"/>
              <w:r w:rsidRPr="00670221">
                <w:rPr>
                  <w:lang w:val="en-US"/>
                </w:rPr>
                <w:t xml:space="preserve">, M. F., </w:t>
              </w:r>
              <w:proofErr w:type="spellStart"/>
              <w:r w:rsidRPr="00670221">
                <w:rPr>
                  <w:lang w:val="en-US"/>
                </w:rPr>
                <w:t>Michailos</w:t>
              </w:r>
              <w:proofErr w:type="spellEnd"/>
              <w:r w:rsidRPr="00670221">
                <w:rPr>
                  <w:lang w:val="en-US"/>
                </w:rPr>
                <w:t xml:space="preserve">, S., Cardozo, E., Akram, M., Hughes, K. J., Ingham, D., &amp; </w:t>
              </w:r>
              <w:proofErr w:type="spellStart"/>
              <w:r w:rsidRPr="00670221">
                <w:rPr>
                  <w:lang w:val="en-US"/>
                </w:rPr>
                <w:t>Pourkashanian</w:t>
              </w:r>
              <w:proofErr w:type="spellEnd"/>
              <w:r w:rsidRPr="00670221">
                <w:rPr>
                  <w:lang w:val="en-US"/>
                </w:rPr>
                <w:t>, M. (2023). Sustainable aviation fuel (SAF) production through power-to-liquid (</w:t>
              </w:r>
              <w:proofErr w:type="spellStart"/>
              <w:r w:rsidRPr="00670221">
                <w:rPr>
                  <w:lang w:val="en-US"/>
                </w:rPr>
                <w:t>PtL</w:t>
              </w:r>
              <w:proofErr w:type="spellEnd"/>
              <w:r w:rsidRPr="00670221">
                <w:rPr>
                  <w:lang w:val="en-US"/>
                </w:rPr>
                <w:t>): A combined techno-economic and life cycle assessment.</w:t>
              </w:r>
              <w:r w:rsidRPr="00670221">
                <w:rPr>
                  <w:i/>
                  <w:iCs/>
                  <w:lang w:val="en-US"/>
                </w:rPr>
                <w:t xml:space="preserve"> Energy Conversion and Management, 292</w:t>
              </w:r>
              <w:r w:rsidRPr="00670221">
                <w:rPr>
                  <w:lang w:val="en-US"/>
                </w:rPr>
                <w:t xml:space="preserve">, 117427. </w:t>
              </w:r>
              <w:hyperlink r:id="rId152" w:history="1">
                <w:r w:rsidRPr="00670221">
                  <w:rPr>
                    <w:rStyle w:val="Hyperlink"/>
                    <w:lang w:val="en-US"/>
                  </w:rPr>
                  <w:t>https://doi.org/10.1016/j.enconman.2023.117427</w:t>
                </w:r>
              </w:hyperlink>
            </w:p>
            <w:p w14:paraId="072B6C7C" w14:textId="27B19406" w:rsidR="0059576D" w:rsidRPr="00670221" w:rsidRDefault="0059576D" w:rsidP="00A85394">
              <w:pPr>
                <w:rPr>
                  <w:lang w:val="en-US"/>
                </w:rPr>
              </w:pPr>
              <w:r w:rsidRPr="00670221">
                <w:rPr>
                  <w:lang w:val="en-US"/>
                </w:rPr>
                <w:t xml:space="preserve">Roundtable on Sustainable Biomaterials. (2024). </w:t>
              </w:r>
              <w:r w:rsidRPr="00670221">
                <w:rPr>
                  <w:i/>
                  <w:iCs/>
                  <w:lang w:val="en-US"/>
                </w:rPr>
                <w:t>Power-to-X: a new pathway for SAF</w:t>
              </w:r>
              <w:r w:rsidRPr="00670221">
                <w:rPr>
                  <w:lang w:val="en-US"/>
                </w:rPr>
                <w:t xml:space="preserve"> [Video]. </w:t>
              </w:r>
              <w:proofErr w:type="spellStart"/>
              <w:r w:rsidRPr="00670221">
                <w:rPr>
                  <w:lang w:val="en-US"/>
                </w:rPr>
                <w:t>Youtube</w:t>
              </w:r>
              <w:proofErr w:type="spellEnd"/>
              <w:r w:rsidRPr="00670221">
                <w:rPr>
                  <w:lang w:val="en-US"/>
                </w:rPr>
                <w:t xml:space="preserve">. </w:t>
              </w:r>
              <w:hyperlink r:id="rId153" w:history="1">
                <w:r w:rsidRPr="00670221">
                  <w:rPr>
                    <w:rStyle w:val="Hyperlink"/>
                    <w:lang w:val="en-US"/>
                  </w:rPr>
                  <w:t>https://www.youtube.com/watch?v=Rpr81taU1wU</w:t>
                </w:r>
              </w:hyperlink>
            </w:p>
            <w:p w14:paraId="6F171B15" w14:textId="4D13AEF3" w:rsidR="00876D76" w:rsidRPr="00670221" w:rsidRDefault="00876D76" w:rsidP="00A85394">
              <w:pPr>
                <w:rPr>
                  <w:lang w:val="en-US"/>
                </w:rPr>
              </w:pPr>
              <w:proofErr w:type="spellStart"/>
              <w:r w:rsidRPr="00670221">
                <w:rPr>
                  <w:lang w:val="en-US"/>
                </w:rPr>
                <w:t>Ruokonen</w:t>
              </w:r>
              <w:proofErr w:type="spellEnd"/>
              <w:r w:rsidRPr="00670221">
                <w:rPr>
                  <w:lang w:val="en-US"/>
                </w:rPr>
                <w:t xml:space="preserve">, J., Nieminen, H., </w:t>
              </w:r>
              <w:proofErr w:type="spellStart"/>
              <w:r w:rsidRPr="00670221">
                <w:rPr>
                  <w:lang w:val="en-US"/>
                </w:rPr>
                <w:t>Dahiru</w:t>
              </w:r>
              <w:proofErr w:type="spellEnd"/>
              <w:r w:rsidRPr="00670221">
                <w:rPr>
                  <w:lang w:val="en-US"/>
                </w:rPr>
                <w:t xml:space="preserve">, A. R., Laari, A., </w:t>
              </w:r>
              <w:proofErr w:type="spellStart"/>
              <w:r w:rsidRPr="00670221">
                <w:rPr>
                  <w:lang w:val="en-US"/>
                </w:rPr>
                <w:t>Koiranen</w:t>
              </w:r>
              <w:proofErr w:type="spellEnd"/>
              <w:r w:rsidRPr="00670221">
                <w:rPr>
                  <w:lang w:val="en-US"/>
                </w:rPr>
                <w:t xml:space="preserve">, T., Laaksonen, P., </w:t>
              </w:r>
              <w:proofErr w:type="spellStart"/>
              <w:r w:rsidRPr="00670221">
                <w:rPr>
                  <w:lang w:val="en-US"/>
                </w:rPr>
                <w:t>Vuokila</w:t>
              </w:r>
              <w:proofErr w:type="spellEnd"/>
              <w:r w:rsidRPr="00670221">
                <w:rPr>
                  <w:lang w:val="en-US"/>
                </w:rPr>
                <w:t xml:space="preserve">, A., &amp; </w:t>
              </w:r>
              <w:proofErr w:type="spellStart"/>
              <w:r w:rsidRPr="00670221">
                <w:rPr>
                  <w:lang w:val="en-US"/>
                </w:rPr>
                <w:t>Huuhtanen</w:t>
              </w:r>
              <w:proofErr w:type="spellEnd"/>
              <w:r w:rsidRPr="00670221">
                <w:rPr>
                  <w:lang w:val="en-US"/>
                </w:rPr>
                <w:t xml:space="preserve">, M. (2021). Modelling and cost estimation for conversion of green methanol to renewable liquid transport fuels via olefin </w:t>
              </w:r>
              <w:proofErr w:type="spellStart"/>
              <w:r w:rsidRPr="00670221">
                <w:rPr>
                  <w:lang w:val="en-US"/>
                </w:rPr>
                <w:t>oligomerisation</w:t>
              </w:r>
              <w:proofErr w:type="spellEnd"/>
              <w:r w:rsidRPr="00670221">
                <w:rPr>
                  <w:lang w:val="en-US"/>
                </w:rPr>
                <w:t xml:space="preserve">. </w:t>
              </w:r>
              <w:r w:rsidRPr="00670221">
                <w:rPr>
                  <w:i/>
                  <w:iCs/>
                  <w:lang w:val="en-US"/>
                </w:rPr>
                <w:t>Processes, 9</w:t>
              </w:r>
              <w:r w:rsidRPr="00670221">
                <w:rPr>
                  <w:lang w:val="en-US"/>
                </w:rPr>
                <w:t xml:space="preserve">(6), 1046. </w:t>
              </w:r>
              <w:hyperlink r:id="rId154" w:history="1">
                <w:r w:rsidRPr="00670221">
                  <w:rPr>
                    <w:rStyle w:val="Hyperlink"/>
                    <w:lang w:val="en-US"/>
                  </w:rPr>
                  <w:t>https://doi.org/10.3390/pr9061046</w:t>
                </w:r>
              </w:hyperlink>
            </w:p>
            <w:p w14:paraId="6114BEF9" w14:textId="717D4D9B" w:rsidR="00A85394" w:rsidRPr="00670221" w:rsidRDefault="00A85394" w:rsidP="00A85394">
              <w:pPr>
                <w:rPr>
                  <w:rStyle w:val="Hyperlink"/>
                  <w:lang w:val="en-US"/>
                </w:rPr>
              </w:pPr>
              <w:r w:rsidRPr="00670221">
                <w:rPr>
                  <w:lang w:val="en-US"/>
                </w:rPr>
                <w:t xml:space="preserve">Russo, S., </w:t>
              </w:r>
              <w:proofErr w:type="spellStart"/>
              <w:r w:rsidRPr="00670221">
                <w:rPr>
                  <w:lang w:val="en-US"/>
                </w:rPr>
                <w:t>Dosio</w:t>
              </w:r>
              <w:proofErr w:type="spellEnd"/>
              <w:r w:rsidRPr="00670221">
                <w:rPr>
                  <w:lang w:val="en-US"/>
                </w:rPr>
                <w:t xml:space="preserve">, A., </w:t>
              </w:r>
              <w:proofErr w:type="spellStart"/>
              <w:r w:rsidRPr="00670221">
                <w:rPr>
                  <w:lang w:val="en-US"/>
                </w:rPr>
                <w:t>Graversen</w:t>
              </w:r>
              <w:proofErr w:type="spellEnd"/>
              <w:r w:rsidRPr="00670221">
                <w:rPr>
                  <w:lang w:val="en-US"/>
                </w:rPr>
                <w:t xml:space="preserve">, R. G., </w:t>
              </w:r>
              <w:proofErr w:type="spellStart"/>
              <w:r w:rsidRPr="00670221">
                <w:rPr>
                  <w:lang w:val="en-US"/>
                </w:rPr>
                <w:t>Sillmann</w:t>
              </w:r>
              <w:proofErr w:type="spellEnd"/>
              <w:r w:rsidRPr="00670221">
                <w:rPr>
                  <w:lang w:val="en-US"/>
                </w:rPr>
                <w:t xml:space="preserve">, J., </w:t>
              </w:r>
              <w:proofErr w:type="spellStart"/>
              <w:r w:rsidRPr="00670221">
                <w:rPr>
                  <w:lang w:val="en-US"/>
                </w:rPr>
                <w:t>Carrão</w:t>
              </w:r>
              <w:proofErr w:type="spellEnd"/>
              <w:r w:rsidRPr="00670221">
                <w:rPr>
                  <w:lang w:val="en-US"/>
                </w:rPr>
                <w:t xml:space="preserve">, H., Dunbar, M. B., Singleton, A., Montagna, P., Barbola, P., &amp; Vogt, J. (2014). Magnitude of extreme heat waves in present climate and their projection in a warming world. </w:t>
              </w:r>
              <w:r w:rsidRPr="00670221">
                <w:rPr>
                  <w:i/>
                  <w:iCs/>
                  <w:lang w:val="en-US"/>
                </w:rPr>
                <w:t>Journal of Geophysical Research: Atmospheres</w:t>
              </w:r>
              <w:r w:rsidRPr="00670221">
                <w:rPr>
                  <w:lang w:val="en-US"/>
                </w:rPr>
                <w:t xml:space="preserve">, </w:t>
              </w:r>
              <w:r w:rsidRPr="00670221">
                <w:rPr>
                  <w:i/>
                  <w:iCs/>
                  <w:lang w:val="en-US"/>
                </w:rPr>
                <w:t>119</w:t>
              </w:r>
              <w:r w:rsidRPr="00670221">
                <w:rPr>
                  <w:lang w:val="en-US"/>
                </w:rPr>
                <w:t xml:space="preserve">(22). </w:t>
              </w:r>
              <w:hyperlink r:id="rId155" w:history="1">
                <w:r w:rsidRPr="00670221">
                  <w:rPr>
                    <w:rStyle w:val="Hyperlink"/>
                    <w:lang w:val="en-US"/>
                  </w:rPr>
                  <w:t>https://doi.org/10.1002/2014jd022098</w:t>
                </w:r>
              </w:hyperlink>
            </w:p>
            <w:p w14:paraId="180435F3" w14:textId="1A66AEC6" w:rsidR="00E558F1" w:rsidRPr="00670221" w:rsidRDefault="00E558F1" w:rsidP="00A85394">
              <w:pPr>
                <w:rPr>
                  <w:lang w:val="en-US"/>
                </w:rPr>
              </w:pPr>
              <w:proofErr w:type="spellStart"/>
              <w:r w:rsidRPr="00670221">
                <w:rPr>
                  <w:lang w:val="en-US"/>
                </w:rPr>
                <w:lastRenderedPageBreak/>
                <w:t>Sacchi</w:t>
              </w:r>
              <w:proofErr w:type="spellEnd"/>
              <w:r w:rsidRPr="00670221">
                <w:rPr>
                  <w:lang w:val="en-US"/>
                </w:rPr>
                <w:t xml:space="preserve">, R., </w:t>
              </w:r>
              <w:proofErr w:type="spellStart"/>
              <w:r w:rsidRPr="00670221">
                <w:rPr>
                  <w:lang w:val="en-US"/>
                </w:rPr>
                <w:t>Becattini</w:t>
              </w:r>
              <w:proofErr w:type="spellEnd"/>
              <w:r w:rsidRPr="00670221">
                <w:rPr>
                  <w:lang w:val="en-US"/>
                </w:rPr>
                <w:t xml:space="preserve">, V., Gabrielli, P., Cox, B., </w:t>
              </w:r>
              <w:proofErr w:type="spellStart"/>
              <w:r w:rsidRPr="00670221">
                <w:rPr>
                  <w:lang w:val="en-US"/>
                </w:rPr>
                <w:t>Dirnaichner</w:t>
              </w:r>
              <w:proofErr w:type="spellEnd"/>
              <w:r w:rsidRPr="00670221">
                <w:rPr>
                  <w:lang w:val="en-US"/>
                </w:rPr>
                <w:t xml:space="preserve">, A., Bauer, C., &amp; </w:t>
              </w:r>
              <w:proofErr w:type="spellStart"/>
              <w:r w:rsidRPr="00670221">
                <w:rPr>
                  <w:lang w:val="en-US"/>
                </w:rPr>
                <w:t>Mazzotti</w:t>
              </w:r>
              <w:proofErr w:type="spellEnd"/>
              <w:r w:rsidRPr="00670221">
                <w:rPr>
                  <w:lang w:val="en-US"/>
                </w:rPr>
                <w:t xml:space="preserve">, M. (2023). How to make climate-neutral aviation fly. </w:t>
              </w:r>
              <w:r w:rsidRPr="00670221">
                <w:rPr>
                  <w:i/>
                  <w:iCs/>
                  <w:lang w:val="en-US"/>
                </w:rPr>
                <w:t>Nature Communications, 14</w:t>
              </w:r>
              <w:r w:rsidRPr="00670221">
                <w:rPr>
                  <w:lang w:val="en-US"/>
                </w:rPr>
                <w:t xml:space="preserve">(1). </w:t>
              </w:r>
              <w:hyperlink r:id="rId156" w:history="1">
                <w:r w:rsidRPr="00670221">
                  <w:rPr>
                    <w:rStyle w:val="Hyperlink"/>
                    <w:lang w:val="en-US"/>
                  </w:rPr>
                  <w:t>https://doi.org/10.1038/s41467-023-39749-y</w:t>
                </w:r>
              </w:hyperlink>
            </w:p>
            <w:p w14:paraId="36ABEA31" w14:textId="3B9681F4" w:rsidR="009703D0" w:rsidRPr="00670221" w:rsidRDefault="009703D0" w:rsidP="00A85394">
              <w:pPr>
                <w:rPr>
                  <w:lang w:val="en-US"/>
                </w:rPr>
              </w:pPr>
              <w:r w:rsidRPr="00670221">
                <w:rPr>
                  <w:lang w:val="en-US"/>
                </w:rPr>
                <w:t xml:space="preserve">Salomone, F., Giglio, E., Ferrero, D., Santarelli, M., Pirone, R., &amp; </w:t>
              </w:r>
              <w:proofErr w:type="spellStart"/>
              <w:r w:rsidRPr="00670221">
                <w:rPr>
                  <w:lang w:val="en-US"/>
                </w:rPr>
                <w:t>Bensaid</w:t>
              </w:r>
              <w:proofErr w:type="spellEnd"/>
              <w:r w:rsidRPr="00670221">
                <w:rPr>
                  <w:lang w:val="en-US"/>
                </w:rPr>
                <w:t xml:space="preserve">, S. (2019). Techno-economic modelling of a Power-to-Gas system based on SOEC electrolysis and CO2 methanation in a RES-based electric grid. </w:t>
              </w:r>
              <w:r w:rsidRPr="00670221">
                <w:rPr>
                  <w:i/>
                  <w:iCs/>
                  <w:lang w:val="en-US"/>
                </w:rPr>
                <w:t>Chemical Engineering Journal, 377</w:t>
              </w:r>
              <w:r w:rsidRPr="00670221">
                <w:rPr>
                  <w:lang w:val="en-US"/>
                </w:rPr>
                <w:t xml:space="preserve">, 120233. </w:t>
              </w:r>
              <w:hyperlink r:id="rId157" w:history="1">
                <w:r w:rsidRPr="00670221">
                  <w:rPr>
                    <w:rStyle w:val="Hyperlink"/>
                    <w:lang w:val="en-US"/>
                  </w:rPr>
                  <w:t>https://doi.org/10.1016/j.cej.2018.10.170</w:t>
                </w:r>
              </w:hyperlink>
            </w:p>
            <w:p w14:paraId="7A9BACFD" w14:textId="43C3D058" w:rsidR="00940AA6" w:rsidRPr="00670221" w:rsidRDefault="00940AA6" w:rsidP="00A85394">
              <w:pPr>
                <w:rPr>
                  <w:lang w:val="en-US"/>
                </w:rPr>
              </w:pPr>
              <w:r w:rsidRPr="00670221">
                <w:rPr>
                  <w:lang w:val="en-US"/>
                </w:rPr>
                <w:t xml:space="preserve">Seymour, K., Held, M., Stolz, B., Georges, G., &amp; </w:t>
              </w:r>
              <w:proofErr w:type="spellStart"/>
              <w:r w:rsidRPr="00670221">
                <w:rPr>
                  <w:lang w:val="en-US"/>
                </w:rPr>
                <w:t>Boulouchos</w:t>
              </w:r>
              <w:proofErr w:type="spellEnd"/>
              <w:r w:rsidRPr="00670221">
                <w:rPr>
                  <w:lang w:val="en-US"/>
                </w:rPr>
                <w:t>, K. (202</w:t>
              </w:r>
              <w:r w:rsidR="007B6A2E" w:rsidRPr="00670221">
                <w:rPr>
                  <w:lang w:val="en-US"/>
                </w:rPr>
                <w:t>3</w:t>
              </w:r>
              <w:r w:rsidRPr="00670221">
                <w:rPr>
                  <w:lang w:val="en-US"/>
                </w:rPr>
                <w:t xml:space="preserve">). Future costs of power-to-liquid sustainable aviation fuels produced from hybrid solar PV-wind plants in Europe. </w:t>
              </w:r>
              <w:r w:rsidRPr="00670221">
                <w:rPr>
                  <w:i/>
                  <w:iCs/>
                  <w:lang w:val="en-US"/>
                </w:rPr>
                <w:t>Sustainable Energy &amp; Fuels, 8</w:t>
              </w:r>
              <w:r w:rsidRPr="00670221">
                <w:rPr>
                  <w:lang w:val="en-US"/>
                </w:rPr>
                <w:t xml:space="preserve">(4), 811–825. </w:t>
              </w:r>
              <w:hyperlink r:id="rId158" w:history="1">
                <w:r w:rsidRPr="00670221">
                  <w:rPr>
                    <w:rStyle w:val="Hyperlink"/>
                    <w:lang w:val="en-US"/>
                  </w:rPr>
                  <w:t>https://doi.org/10.1039/d3se00978e</w:t>
                </w:r>
              </w:hyperlink>
            </w:p>
            <w:p w14:paraId="73EF5250" w14:textId="67FD470D" w:rsidR="00A85394" w:rsidRPr="00670221" w:rsidRDefault="00A85394" w:rsidP="00A85394">
              <w:pPr>
                <w:rPr>
                  <w:lang w:val="en-US"/>
                </w:rPr>
              </w:pPr>
              <w:r w:rsidRPr="00670221">
                <w:rPr>
                  <w:lang w:val="en-US"/>
                </w:rPr>
                <w:t xml:space="preserve">Sherwin, E. D. (2021). </w:t>
              </w:r>
              <w:proofErr w:type="spellStart"/>
              <w:r w:rsidRPr="00670221">
                <w:rPr>
                  <w:lang w:val="en-US"/>
                </w:rPr>
                <w:t>Electrofuel</w:t>
              </w:r>
              <w:proofErr w:type="spellEnd"/>
              <w:r w:rsidRPr="00670221">
                <w:rPr>
                  <w:lang w:val="en-US"/>
                </w:rPr>
                <w:t xml:space="preserve"> Synthesis from Variable Renewable Electricity: An Optimization-Based Techno-Economic Analysis. </w:t>
              </w:r>
              <w:r w:rsidRPr="00670221">
                <w:rPr>
                  <w:i/>
                  <w:iCs/>
                  <w:lang w:val="en-US"/>
                </w:rPr>
                <w:t>Environmental Science &amp; Technology, 55</w:t>
              </w:r>
              <w:r w:rsidRPr="00670221">
                <w:rPr>
                  <w:lang w:val="en-US"/>
                </w:rPr>
                <w:t xml:space="preserve">(11), 7583–7594. </w:t>
              </w:r>
              <w:hyperlink r:id="rId159" w:history="1">
                <w:r w:rsidRPr="00670221">
                  <w:rPr>
                    <w:rStyle w:val="Hyperlink"/>
                    <w:lang w:val="en-US"/>
                  </w:rPr>
                  <w:t>https://doi.org/10.1021/acs.est.0c07955</w:t>
                </w:r>
              </w:hyperlink>
            </w:p>
            <w:p w14:paraId="643856BA" w14:textId="6781D124" w:rsidR="00CD6B09" w:rsidRPr="00670221" w:rsidRDefault="00CD6B09" w:rsidP="00A85394">
              <w:pPr>
                <w:rPr>
                  <w:lang w:val="en-US"/>
                </w:rPr>
              </w:pPr>
              <w:r w:rsidRPr="00670221">
                <w:rPr>
                  <w:lang w:val="en-US"/>
                </w:rPr>
                <w:t xml:space="preserve">Shi, X., Lin, Y., &amp; Chen, X. (2022). Development of sorbent materials for direct air capture of CO2. </w:t>
              </w:r>
              <w:r w:rsidRPr="00670221">
                <w:rPr>
                  <w:i/>
                  <w:iCs/>
                  <w:lang w:val="en-US"/>
                </w:rPr>
                <w:t>MRS Bulletin, 47</w:t>
              </w:r>
              <w:r w:rsidRPr="00670221">
                <w:rPr>
                  <w:lang w:val="en-US"/>
                </w:rPr>
                <w:t xml:space="preserve">(4), 405–415. </w:t>
              </w:r>
              <w:hyperlink r:id="rId160" w:history="1">
                <w:r w:rsidRPr="00670221">
                  <w:rPr>
                    <w:rStyle w:val="Hyperlink"/>
                    <w:lang w:val="en-US"/>
                  </w:rPr>
                  <w:t>https://doi.org/10.1557/s43577-022-00320-7</w:t>
                </w:r>
              </w:hyperlink>
            </w:p>
            <w:p w14:paraId="4D601838" w14:textId="5300E404" w:rsidR="00CE4A0C" w:rsidRPr="00670221" w:rsidRDefault="00CE4A0C" w:rsidP="00A85394">
              <w:pPr>
                <w:rPr>
                  <w:lang w:val="en-US"/>
                </w:rPr>
              </w:pPr>
              <w:r w:rsidRPr="00670221">
                <w:rPr>
                  <w:lang w:val="en-US"/>
                </w:rPr>
                <w:t xml:space="preserve">Short, W., </w:t>
              </w:r>
              <w:proofErr w:type="spellStart"/>
              <w:r w:rsidRPr="00670221">
                <w:rPr>
                  <w:lang w:val="en-US"/>
                </w:rPr>
                <w:t>Packey</w:t>
              </w:r>
              <w:proofErr w:type="spellEnd"/>
              <w:r w:rsidRPr="00670221">
                <w:rPr>
                  <w:lang w:val="en-US"/>
                </w:rPr>
                <w:t xml:space="preserve">, D., &amp; Holt, T. (1995). A manual for the economic evaluation of energy efficiency and renewable energy technologies. </w:t>
              </w:r>
              <w:hyperlink r:id="rId161" w:history="1">
                <w:r w:rsidRPr="00670221">
                  <w:rPr>
                    <w:rStyle w:val="Hyperlink"/>
                    <w:lang w:val="en-US"/>
                  </w:rPr>
                  <w:t>https://doi.org/10.2172/35391</w:t>
                </w:r>
              </w:hyperlink>
            </w:p>
            <w:p w14:paraId="3F35AA91" w14:textId="4B53152C" w:rsidR="00A85394" w:rsidRPr="00670221" w:rsidRDefault="00A85394" w:rsidP="00A85394">
              <w:pPr>
                <w:rPr>
                  <w:lang w:val="en-US"/>
                </w:rPr>
              </w:pPr>
              <w:r w:rsidRPr="00670221">
                <w:rPr>
                  <w:lang w:val="en-US"/>
                </w:rPr>
                <w:t xml:space="preserve">Shukla, J., Verma, M., &amp; Misra, A. (2017). Effect of global warming on sea level rise: A modeling study. </w:t>
              </w:r>
              <w:r w:rsidRPr="00670221">
                <w:rPr>
                  <w:i/>
                  <w:iCs/>
                  <w:lang w:val="en-US"/>
                </w:rPr>
                <w:t>Ecological Complexity</w:t>
              </w:r>
              <w:r w:rsidRPr="00670221">
                <w:rPr>
                  <w:lang w:val="en-US"/>
                </w:rPr>
                <w:t xml:space="preserve">, </w:t>
              </w:r>
              <w:r w:rsidRPr="00670221">
                <w:rPr>
                  <w:i/>
                  <w:iCs/>
                  <w:lang w:val="en-US"/>
                </w:rPr>
                <w:t>32</w:t>
              </w:r>
              <w:r w:rsidRPr="00670221">
                <w:rPr>
                  <w:lang w:val="en-US"/>
                </w:rPr>
                <w:t xml:space="preserve">, 99–110. </w:t>
              </w:r>
              <w:hyperlink r:id="rId162" w:history="1">
                <w:r w:rsidRPr="00670221">
                  <w:rPr>
                    <w:rStyle w:val="Hyperlink"/>
                    <w:lang w:val="en-US"/>
                  </w:rPr>
                  <w:t>https://doi.org/10.1016/j.ecocom.2017.10.007</w:t>
                </w:r>
              </w:hyperlink>
            </w:p>
            <w:p w14:paraId="08DD5EE9" w14:textId="77777777" w:rsidR="00A85394" w:rsidRPr="00670221" w:rsidRDefault="00A85394" w:rsidP="00A85394">
              <w:pPr>
                <w:rPr>
                  <w:lang w:val="en-US"/>
                </w:rPr>
              </w:pPr>
              <w:r w:rsidRPr="00670221">
                <w:rPr>
                  <w:lang w:val="en-US"/>
                </w:rPr>
                <w:t xml:space="preserve">Sick, V., Stokes, G. M., Mason, F., Yu, Y., Van Berkel, A., </w:t>
              </w:r>
              <w:proofErr w:type="spellStart"/>
              <w:r w:rsidRPr="00670221">
                <w:rPr>
                  <w:lang w:val="en-US"/>
                </w:rPr>
                <w:t>Daliah</w:t>
              </w:r>
              <w:proofErr w:type="spellEnd"/>
              <w:r w:rsidRPr="00670221">
                <w:rPr>
                  <w:lang w:val="en-US"/>
                </w:rPr>
                <w:t xml:space="preserve">, R., Gamez, O., Gee, C., &amp; Kaushik, M. (2022). Implementing CO2 capture and utilization at scale and speed. In </w:t>
              </w:r>
              <w:r w:rsidRPr="00670221">
                <w:rPr>
                  <w:i/>
                  <w:iCs/>
                  <w:lang w:val="en-US"/>
                </w:rPr>
                <w:t>Deep Blue (University of Michigan)</w:t>
              </w:r>
              <w:r w:rsidRPr="00670221">
                <w:rPr>
                  <w:lang w:val="en-US"/>
                </w:rPr>
                <w:t xml:space="preserve">. </w:t>
              </w:r>
              <w:hyperlink r:id="rId163" w:history="1">
                <w:r w:rsidRPr="00670221">
                  <w:rPr>
                    <w:rStyle w:val="Hyperlink"/>
                    <w:lang w:val="en-US"/>
                  </w:rPr>
                  <w:t>https://doi.org/10.7302/5825</w:t>
                </w:r>
              </w:hyperlink>
            </w:p>
            <w:p w14:paraId="2F8EC924" w14:textId="77777777" w:rsidR="00A85394" w:rsidRPr="00670221" w:rsidRDefault="00A85394" w:rsidP="00A85394">
              <w:pPr>
                <w:rPr>
                  <w:lang w:val="en-US"/>
                </w:rPr>
              </w:pPr>
              <w:proofErr w:type="spellStart"/>
              <w:r w:rsidRPr="00670221">
                <w:rPr>
                  <w:lang w:val="en-US"/>
                </w:rPr>
                <w:t>Sivaramanan</w:t>
              </w:r>
              <w:proofErr w:type="spellEnd"/>
              <w:r w:rsidRPr="00670221">
                <w:rPr>
                  <w:lang w:val="en-US"/>
                </w:rPr>
                <w:t xml:space="preserve">, S. (2015). Global Warming and Climate change, causes, impacts and mitigation. </w:t>
              </w:r>
              <w:r w:rsidRPr="00670221">
                <w:rPr>
                  <w:i/>
                  <w:iCs/>
                  <w:lang w:val="en-US"/>
                </w:rPr>
                <w:t>Central Environmental Authority</w:t>
              </w:r>
              <w:r w:rsidRPr="00670221">
                <w:rPr>
                  <w:lang w:val="en-US"/>
                </w:rPr>
                <w:t xml:space="preserve">, </w:t>
              </w:r>
              <w:r w:rsidRPr="00670221">
                <w:rPr>
                  <w:i/>
                  <w:iCs/>
                  <w:lang w:val="en-US"/>
                </w:rPr>
                <w:t>2</w:t>
              </w:r>
              <w:r w:rsidRPr="00670221">
                <w:rPr>
                  <w:lang w:val="en-US"/>
                </w:rPr>
                <w:t xml:space="preserve">(4). </w:t>
              </w:r>
              <w:hyperlink r:id="rId164" w:history="1">
                <w:r w:rsidRPr="00670221">
                  <w:rPr>
                    <w:rStyle w:val="Hyperlink"/>
                    <w:lang w:val="en-US"/>
                  </w:rPr>
                  <w:t>http://doi.org./10.13140/RG.2.1.4889.7128</w:t>
                </w:r>
              </w:hyperlink>
            </w:p>
            <w:p w14:paraId="5E1079DF" w14:textId="1C4ADDBB" w:rsidR="009D400F" w:rsidRPr="00670221" w:rsidRDefault="009D400F" w:rsidP="00A85394">
              <w:pPr>
                <w:rPr>
                  <w:lang w:val="en-US"/>
                </w:rPr>
              </w:pPr>
              <w:r w:rsidRPr="00670221">
                <w:rPr>
                  <w:lang w:val="en-US"/>
                </w:rPr>
                <w:t xml:space="preserve">Sunfire GmbH. (2023). Sunfire </w:t>
              </w:r>
              <w:proofErr w:type="spellStart"/>
              <w:r w:rsidRPr="00670221">
                <w:rPr>
                  <w:lang w:val="en-US"/>
                </w:rPr>
                <w:t>SynLink</w:t>
              </w:r>
              <w:proofErr w:type="spellEnd"/>
              <w:r w:rsidRPr="00670221">
                <w:rPr>
                  <w:lang w:val="en-US"/>
                </w:rPr>
                <w:t xml:space="preserve"> SOEC factsheet. </w:t>
              </w:r>
              <w:hyperlink r:id="rId165" w:history="1">
                <w:r w:rsidRPr="00670221">
                  <w:rPr>
                    <w:rStyle w:val="Hyperlink"/>
                    <w:lang w:val="en-US"/>
                  </w:rPr>
                  <w:t>https://www.sunfire.de/files/sunfire/images/content/Produkte_Technologie/factsheets/Sunfire-Factsheet-SynLink-SOEC_2023Nov.pdf</w:t>
                </w:r>
              </w:hyperlink>
            </w:p>
            <w:p w14:paraId="13C74246" w14:textId="4B3C297D" w:rsidR="00A85394" w:rsidRPr="00670221" w:rsidRDefault="00A85394" w:rsidP="00A85394">
              <w:pPr>
                <w:rPr>
                  <w:lang w:val="en-US"/>
                </w:rPr>
              </w:pPr>
              <w:r w:rsidRPr="00670221">
                <w:rPr>
                  <w:lang w:val="en-US"/>
                </w:rPr>
                <w:t>Su-</w:t>
              </w:r>
              <w:proofErr w:type="spellStart"/>
              <w:r w:rsidRPr="00670221">
                <w:rPr>
                  <w:lang w:val="en-US"/>
                </w:rPr>
                <w:t>Ungkavatin</w:t>
              </w:r>
              <w:proofErr w:type="spellEnd"/>
              <w:r w:rsidRPr="00670221">
                <w:rPr>
                  <w:lang w:val="en-US"/>
                </w:rPr>
                <w:t xml:space="preserve">, P., </w:t>
              </w:r>
              <w:proofErr w:type="spellStart"/>
              <w:r w:rsidRPr="00670221">
                <w:rPr>
                  <w:lang w:val="en-US"/>
                </w:rPr>
                <w:t>Tiruta</w:t>
              </w:r>
              <w:proofErr w:type="spellEnd"/>
              <w:r w:rsidRPr="00670221">
                <w:rPr>
                  <w:lang w:val="en-US"/>
                </w:rPr>
                <w:t xml:space="preserve">-Barna, L., &amp; Hamelin, L. (2023). Biofuels, </w:t>
              </w:r>
              <w:proofErr w:type="spellStart"/>
              <w:r w:rsidRPr="00670221">
                <w:rPr>
                  <w:lang w:val="en-US"/>
                </w:rPr>
                <w:t>electrofuels</w:t>
              </w:r>
              <w:proofErr w:type="spellEnd"/>
              <w:r w:rsidRPr="00670221">
                <w:rPr>
                  <w:lang w:val="en-US"/>
                </w:rPr>
                <w:t xml:space="preserve">, electric or </w:t>
              </w:r>
              <w:proofErr w:type="gramStart"/>
              <w:r w:rsidRPr="00670221">
                <w:rPr>
                  <w:lang w:val="en-US"/>
                </w:rPr>
                <w:t>hydrogen?:</w:t>
              </w:r>
              <w:proofErr w:type="gramEnd"/>
              <w:r w:rsidRPr="00670221">
                <w:rPr>
                  <w:lang w:val="en-US"/>
                </w:rPr>
                <w:t xml:space="preserve"> A review of current and emerging sustainable aviation systems. </w:t>
              </w:r>
              <w:r w:rsidRPr="00670221">
                <w:rPr>
                  <w:i/>
                  <w:iCs/>
                  <w:lang w:val="en-US"/>
                </w:rPr>
                <w:t>Progress in Energy and Combustion Science</w:t>
              </w:r>
              <w:r w:rsidRPr="00670221">
                <w:rPr>
                  <w:lang w:val="en-US"/>
                </w:rPr>
                <w:t xml:space="preserve">, </w:t>
              </w:r>
              <w:r w:rsidRPr="00670221">
                <w:rPr>
                  <w:i/>
                  <w:iCs/>
                  <w:lang w:val="en-US"/>
                </w:rPr>
                <w:t>96</w:t>
              </w:r>
              <w:r w:rsidRPr="00670221">
                <w:rPr>
                  <w:lang w:val="en-US"/>
                </w:rPr>
                <w:t xml:space="preserve">, 101073. </w:t>
              </w:r>
              <w:hyperlink r:id="rId166" w:history="1">
                <w:r w:rsidRPr="00670221">
                  <w:rPr>
                    <w:rStyle w:val="Hyperlink"/>
                    <w:lang w:val="en-US"/>
                  </w:rPr>
                  <w:t>https://doi.org/10.1016/j.pecs.2023.101073</w:t>
                </w:r>
              </w:hyperlink>
            </w:p>
            <w:p w14:paraId="5E4622E3" w14:textId="2135D6F4" w:rsidR="00A85394" w:rsidRPr="00670221" w:rsidRDefault="00A85394" w:rsidP="00A85394">
              <w:pPr>
                <w:rPr>
                  <w:lang w:val="en-US"/>
                </w:rPr>
              </w:pPr>
              <w:r w:rsidRPr="00670221">
                <w:rPr>
                  <w:lang w:val="en-US"/>
                </w:rPr>
                <w:t xml:space="preserve">Timmons, D., &amp; </w:t>
              </w:r>
              <w:proofErr w:type="spellStart"/>
              <w:r w:rsidRPr="00670221">
                <w:rPr>
                  <w:lang w:val="en-US"/>
                </w:rPr>
                <w:t>Terwel</w:t>
              </w:r>
              <w:proofErr w:type="spellEnd"/>
              <w:r w:rsidRPr="00670221">
                <w:rPr>
                  <w:lang w:val="en-US"/>
                </w:rPr>
                <w:t xml:space="preserve">, R. (2022). Economics of aviation fuel decarbonization: A preliminary assessment. </w:t>
              </w:r>
              <w:r w:rsidRPr="00670221">
                <w:rPr>
                  <w:i/>
                  <w:iCs/>
                  <w:lang w:val="en-US"/>
                </w:rPr>
                <w:t>Journal of Cleaner Production</w:t>
              </w:r>
              <w:r w:rsidRPr="00670221">
                <w:rPr>
                  <w:lang w:val="en-US"/>
                </w:rPr>
                <w:t xml:space="preserve">, </w:t>
              </w:r>
              <w:r w:rsidRPr="00670221">
                <w:rPr>
                  <w:i/>
                  <w:iCs/>
                  <w:lang w:val="en-US"/>
                </w:rPr>
                <w:t>369</w:t>
              </w:r>
              <w:r w:rsidRPr="00670221">
                <w:rPr>
                  <w:lang w:val="en-US"/>
                </w:rPr>
                <w:t>, 133097.</w:t>
              </w:r>
              <w:r w:rsidR="00CE21B0" w:rsidRPr="00670221">
                <w:rPr>
                  <w:lang w:val="en-US"/>
                </w:rPr>
                <w:t xml:space="preserve"> </w:t>
              </w:r>
              <w:hyperlink r:id="rId167" w:history="1">
                <w:r w:rsidR="00CE21B0" w:rsidRPr="00670221">
                  <w:rPr>
                    <w:rStyle w:val="Hyperlink"/>
                    <w:lang w:val="en-US"/>
                  </w:rPr>
                  <w:t>https://doi.org/10.1016/j.jclepro.2022.133097</w:t>
                </w:r>
              </w:hyperlink>
            </w:p>
            <w:p w14:paraId="55BE5D2B" w14:textId="3780212E" w:rsidR="00187AD6" w:rsidRPr="00670221" w:rsidRDefault="00187AD6" w:rsidP="00A85394">
              <w:pPr>
                <w:rPr>
                  <w:lang w:val="en-US"/>
                </w:rPr>
              </w:pPr>
              <w:proofErr w:type="spellStart"/>
              <w:r w:rsidRPr="00670221">
                <w:rPr>
                  <w:lang w:val="en-US"/>
                </w:rPr>
                <w:t>Tremel</w:t>
              </w:r>
              <w:proofErr w:type="spellEnd"/>
              <w:r w:rsidRPr="00670221">
                <w:rPr>
                  <w:lang w:val="en-US"/>
                </w:rPr>
                <w:t xml:space="preserve">, A. (2018). Electricity-based fuels. In </w:t>
              </w:r>
              <w:proofErr w:type="spellStart"/>
              <w:r w:rsidRPr="00670221">
                <w:rPr>
                  <w:i/>
                  <w:iCs/>
                  <w:lang w:val="en-US"/>
                </w:rPr>
                <w:t>SpringerBriefs</w:t>
              </w:r>
              <w:proofErr w:type="spellEnd"/>
              <w:r w:rsidRPr="00670221">
                <w:rPr>
                  <w:i/>
                  <w:iCs/>
                  <w:lang w:val="en-US"/>
                </w:rPr>
                <w:t xml:space="preserve"> in applied sciences and technology</w:t>
              </w:r>
              <w:r w:rsidRPr="00670221">
                <w:rPr>
                  <w:lang w:val="en-US"/>
                </w:rPr>
                <w:t xml:space="preserve">. </w:t>
              </w:r>
              <w:hyperlink r:id="rId168" w:history="1">
                <w:r w:rsidRPr="00670221">
                  <w:rPr>
                    <w:rStyle w:val="Hyperlink"/>
                    <w:lang w:val="en-US"/>
                  </w:rPr>
                  <w:t>https://doi.org/10.1007/978-3-319-72459-1</w:t>
                </w:r>
              </w:hyperlink>
            </w:p>
            <w:p w14:paraId="321813DD" w14:textId="73C4B540" w:rsidR="003D60BD" w:rsidRPr="00670221" w:rsidRDefault="003D60BD" w:rsidP="00A85394">
              <w:pPr>
                <w:rPr>
                  <w:lang w:val="en-US"/>
                </w:rPr>
              </w:pPr>
              <w:r w:rsidRPr="00670221">
                <w:rPr>
                  <w:lang w:val="en-US"/>
                </w:rPr>
                <w:t xml:space="preserve">United Nations. (n.d.-a). </w:t>
              </w:r>
              <w:r w:rsidRPr="00670221">
                <w:rPr>
                  <w:i/>
                  <w:iCs/>
                  <w:lang w:val="en-US"/>
                </w:rPr>
                <w:t>The Paris Agreement | United Nations</w:t>
              </w:r>
              <w:r w:rsidRPr="00670221">
                <w:rPr>
                  <w:lang w:val="en-US"/>
                </w:rPr>
                <w:t xml:space="preserve">. </w:t>
              </w:r>
              <w:hyperlink r:id="rId169" w:history="1">
                <w:r w:rsidRPr="00670221">
                  <w:rPr>
                    <w:rStyle w:val="Hyperlink"/>
                    <w:lang w:val="en-US"/>
                  </w:rPr>
                  <w:t>https://www.un.org/en/climatechange/paris-agreement</w:t>
                </w:r>
              </w:hyperlink>
            </w:p>
            <w:p w14:paraId="6724A892" w14:textId="4C4FF287" w:rsidR="00E663C1" w:rsidRPr="00670221" w:rsidRDefault="00E663C1" w:rsidP="00A85394">
              <w:pPr>
                <w:rPr>
                  <w:lang w:val="en-US"/>
                </w:rPr>
              </w:pPr>
              <w:r w:rsidRPr="00670221">
                <w:rPr>
                  <w:lang w:val="en-US"/>
                </w:rPr>
                <w:t xml:space="preserve">United Nations. (n.d.). </w:t>
              </w:r>
              <w:r w:rsidRPr="00670221">
                <w:rPr>
                  <w:i/>
                  <w:iCs/>
                  <w:lang w:val="en-US"/>
                </w:rPr>
                <w:t>UN Climate Change Working together for climate ambition</w:t>
              </w:r>
              <w:r w:rsidRPr="00670221">
                <w:rPr>
                  <w:lang w:val="en-US"/>
                </w:rPr>
                <w:t xml:space="preserve">. United Nations Framework Convention on Climate Change. </w:t>
              </w:r>
              <w:hyperlink r:id="rId170" w:history="1">
                <w:r w:rsidRPr="00670221">
                  <w:rPr>
                    <w:rStyle w:val="Hyperlink"/>
                    <w:lang w:val="en-US"/>
                  </w:rPr>
                  <w:t>https://unfccc.int/</w:t>
                </w:r>
              </w:hyperlink>
            </w:p>
            <w:p w14:paraId="43B545CB" w14:textId="1E2E093A" w:rsidR="00A85394" w:rsidRPr="00670221" w:rsidRDefault="00A85394" w:rsidP="00A85394">
              <w:pPr>
                <w:rPr>
                  <w:lang w:val="en-US"/>
                </w:rPr>
              </w:pPr>
              <w:proofErr w:type="spellStart"/>
              <w:r w:rsidRPr="00670221">
                <w:rPr>
                  <w:lang w:val="en-US"/>
                </w:rPr>
                <w:t>Vitousek</w:t>
              </w:r>
              <w:proofErr w:type="spellEnd"/>
              <w:r w:rsidRPr="00670221">
                <w:rPr>
                  <w:lang w:val="en-US"/>
                </w:rPr>
                <w:t xml:space="preserve">, P. M. (1994). Beyond Global Warming: Ecology and global change. </w:t>
              </w:r>
              <w:r w:rsidRPr="00670221">
                <w:rPr>
                  <w:i/>
                  <w:iCs/>
                  <w:lang w:val="en-US"/>
                </w:rPr>
                <w:t>Ecology</w:t>
              </w:r>
              <w:r w:rsidRPr="00670221">
                <w:rPr>
                  <w:lang w:val="en-US"/>
                </w:rPr>
                <w:t xml:space="preserve">, </w:t>
              </w:r>
              <w:r w:rsidRPr="00670221">
                <w:rPr>
                  <w:i/>
                  <w:iCs/>
                  <w:lang w:val="en-US"/>
                </w:rPr>
                <w:t>75</w:t>
              </w:r>
              <w:r w:rsidRPr="00670221">
                <w:rPr>
                  <w:lang w:val="en-US"/>
                </w:rPr>
                <w:t xml:space="preserve">(7), 1861–1876. </w:t>
              </w:r>
              <w:hyperlink r:id="rId171" w:history="1">
                <w:r w:rsidRPr="00670221">
                  <w:rPr>
                    <w:rStyle w:val="Hyperlink"/>
                    <w:lang w:val="en-US"/>
                  </w:rPr>
                  <w:t>https://doi.org/10.2307/1941591</w:t>
                </w:r>
              </w:hyperlink>
            </w:p>
            <w:p w14:paraId="4CC6AA8E" w14:textId="43CE8E12" w:rsidR="009C5C34" w:rsidRPr="00670221" w:rsidRDefault="009C5C34" w:rsidP="00A85394">
              <w:pPr>
                <w:rPr>
                  <w:lang w:val="en-US"/>
                </w:rPr>
              </w:pPr>
              <w:r w:rsidRPr="00670221">
                <w:rPr>
                  <w:lang w:val="en-US"/>
                </w:rPr>
                <w:lastRenderedPageBreak/>
                <w:t xml:space="preserve">Williams, C. L., Westover, T. L., Emerson, R. M., </w:t>
              </w:r>
              <w:proofErr w:type="spellStart"/>
              <w:r w:rsidRPr="00670221">
                <w:rPr>
                  <w:lang w:val="en-US"/>
                </w:rPr>
                <w:t>Tumuluru</w:t>
              </w:r>
              <w:proofErr w:type="spellEnd"/>
              <w:r w:rsidRPr="00670221">
                <w:rPr>
                  <w:lang w:val="en-US"/>
                </w:rPr>
                <w:t xml:space="preserve">, J. S., &amp; Li, C. (2015). Sources of biomass feedstock variability and the potential impact on biofuels production. </w:t>
              </w:r>
              <w:proofErr w:type="spellStart"/>
              <w:r w:rsidRPr="00670221">
                <w:rPr>
                  <w:i/>
                  <w:iCs/>
                  <w:lang w:val="en-US"/>
                </w:rPr>
                <w:t>BioEnergy</w:t>
              </w:r>
              <w:proofErr w:type="spellEnd"/>
              <w:r w:rsidRPr="00670221">
                <w:rPr>
                  <w:i/>
                  <w:iCs/>
                  <w:lang w:val="en-US"/>
                </w:rPr>
                <w:t xml:space="preserve"> Research, 9</w:t>
              </w:r>
              <w:r w:rsidRPr="00670221">
                <w:rPr>
                  <w:lang w:val="en-US"/>
                </w:rPr>
                <w:t xml:space="preserve">(1), 1–14. </w:t>
              </w:r>
              <w:hyperlink r:id="rId172" w:history="1">
                <w:r w:rsidRPr="00670221">
                  <w:rPr>
                    <w:rStyle w:val="Hyperlink"/>
                    <w:lang w:val="en-US"/>
                  </w:rPr>
                  <w:t>https://doi.org/10.1007/s12155-015-9694-y</w:t>
                </w:r>
              </w:hyperlink>
            </w:p>
            <w:p w14:paraId="70BB99FE" w14:textId="0AA3E64C" w:rsidR="009D33E0" w:rsidRPr="00670221" w:rsidRDefault="00A85394" w:rsidP="00A85394">
              <w:pPr>
                <w:rPr>
                  <w:color w:val="0563C1" w:themeColor="hyperlink"/>
                  <w:u w:val="single"/>
                  <w:lang w:val="en-US"/>
                </w:rPr>
              </w:pPr>
              <w:r w:rsidRPr="00670221">
                <w:rPr>
                  <w:lang w:val="en-US"/>
                </w:rPr>
                <w:t xml:space="preserve">World Bank Group, (2024). </w:t>
              </w:r>
              <w:r w:rsidRPr="00670221">
                <w:rPr>
                  <w:i/>
                  <w:iCs/>
                  <w:lang w:val="en-US"/>
                </w:rPr>
                <w:t xml:space="preserve">GDP (current US$). </w:t>
              </w:r>
              <w:r w:rsidRPr="00670221">
                <w:rPr>
                  <w:lang w:val="en-US"/>
                </w:rPr>
                <w:t xml:space="preserve">Retrieved in on January 18, 2024, from </w:t>
              </w:r>
              <w:hyperlink r:id="rId173" w:history="1">
                <w:r w:rsidRPr="00670221">
                  <w:rPr>
                    <w:rStyle w:val="Hyperlink"/>
                    <w:lang w:val="en-US"/>
                  </w:rPr>
                  <w:t>https://data.worldbank.org/indicator/NY.GDP.MKTP.CD</w:t>
                </w:r>
              </w:hyperlink>
            </w:p>
            <w:p w14:paraId="4AD9C45B" w14:textId="37317D3D" w:rsidR="008779DE" w:rsidRPr="00670221" w:rsidRDefault="008779DE" w:rsidP="00A85394">
              <w:pPr>
                <w:rPr>
                  <w:lang w:val="en-US"/>
                </w:rPr>
              </w:pPr>
              <w:r w:rsidRPr="00670221">
                <w:rPr>
                  <w:lang w:val="en-US"/>
                </w:rPr>
                <w:t xml:space="preserve">World Nuclear Association. (2024). </w:t>
              </w:r>
              <w:r w:rsidRPr="00670221">
                <w:rPr>
                  <w:i/>
                  <w:iCs/>
                  <w:lang w:val="en-US"/>
                </w:rPr>
                <w:t>Nuclear power in the European Union - World Nuclear Association.</w:t>
              </w:r>
              <w:r w:rsidRPr="00670221">
                <w:rPr>
                  <w:lang w:val="en-US"/>
                </w:rPr>
                <w:t xml:space="preserve"> </w:t>
              </w:r>
              <w:hyperlink r:id="rId174" w:history="1">
                <w:r w:rsidRPr="00670221">
                  <w:rPr>
                    <w:rStyle w:val="Hyperlink"/>
                    <w:lang w:val="en-US"/>
                  </w:rPr>
                  <w:t>https://world-nuclear.org/information-library/country-profiles/others/european-union</w:t>
                </w:r>
              </w:hyperlink>
            </w:p>
            <w:p w14:paraId="75F9CCBF" w14:textId="4500CD88" w:rsidR="0025589F" w:rsidRPr="00670221" w:rsidRDefault="0025589F" w:rsidP="00A85394">
              <w:pPr>
                <w:rPr>
                  <w:lang w:val="en-US"/>
                </w:rPr>
              </w:pPr>
              <w:r w:rsidRPr="00670221">
                <w:rPr>
                  <w:lang w:val="en-US"/>
                </w:rPr>
                <w:t xml:space="preserve">Yeh, S., &amp; Rubin, E. S. (2012). A review of uncertainties in technology experience curves. </w:t>
              </w:r>
              <w:r w:rsidRPr="00670221">
                <w:rPr>
                  <w:i/>
                  <w:iCs/>
                  <w:lang w:val="en-US"/>
                </w:rPr>
                <w:t>Energy Economics, 34</w:t>
              </w:r>
              <w:r w:rsidRPr="00670221">
                <w:rPr>
                  <w:lang w:val="en-US"/>
                </w:rPr>
                <w:t xml:space="preserve">(3), 762-771. </w:t>
              </w:r>
              <w:hyperlink r:id="rId175" w:history="1">
                <w:r w:rsidRPr="00670221">
                  <w:rPr>
                    <w:rStyle w:val="Hyperlink"/>
                    <w:lang w:val="en-US"/>
                  </w:rPr>
                  <w:t>https://doi.org/10.1016/j.eneco.2011.11.006</w:t>
                </w:r>
              </w:hyperlink>
            </w:p>
            <w:p w14:paraId="12A728DD" w14:textId="017EBBDD" w:rsidR="009D33E0" w:rsidRPr="00670221" w:rsidRDefault="009D33E0" w:rsidP="00A85394">
              <w:pPr>
                <w:rPr>
                  <w:lang w:val="en-US"/>
                </w:rPr>
              </w:pPr>
              <w:r w:rsidRPr="00670221">
                <w:rPr>
                  <w:lang w:val="en-US"/>
                </w:rPr>
                <w:t xml:space="preserve">Zang, G., Sun, P., </w:t>
              </w:r>
              <w:proofErr w:type="spellStart"/>
              <w:r w:rsidRPr="00670221">
                <w:rPr>
                  <w:lang w:val="en-US"/>
                </w:rPr>
                <w:t>Elgowainy</w:t>
              </w:r>
              <w:proofErr w:type="spellEnd"/>
              <w:r w:rsidRPr="00670221">
                <w:rPr>
                  <w:lang w:val="en-US"/>
                </w:rPr>
                <w:t>, A. A., Bafana, A., &amp; Wang, M. (2021). Performance and cost analysis of liquid fuel production from H2 and CO2 based on the Fischer-</w:t>
              </w:r>
              <w:proofErr w:type="spellStart"/>
              <w:r w:rsidRPr="00670221">
                <w:rPr>
                  <w:lang w:val="en-US"/>
                </w:rPr>
                <w:t>Tropsch</w:t>
              </w:r>
              <w:proofErr w:type="spellEnd"/>
              <w:r w:rsidRPr="00670221">
                <w:rPr>
                  <w:lang w:val="en-US"/>
                </w:rPr>
                <w:t xml:space="preserve"> process. </w:t>
              </w:r>
              <w:r w:rsidRPr="00670221">
                <w:rPr>
                  <w:i/>
                  <w:iCs/>
                  <w:lang w:val="en-US"/>
                </w:rPr>
                <w:t>Journal of CO2 Utilization, 46</w:t>
              </w:r>
              <w:r w:rsidRPr="00670221">
                <w:rPr>
                  <w:lang w:val="en-US"/>
                </w:rPr>
                <w:t xml:space="preserve">, 101459. </w:t>
              </w:r>
              <w:hyperlink r:id="rId176" w:history="1">
                <w:r w:rsidRPr="00670221">
                  <w:rPr>
                    <w:rStyle w:val="Hyperlink"/>
                    <w:lang w:val="en-US"/>
                  </w:rPr>
                  <w:t>https://doi.org/10.1016/j.jcou.2021.101459</w:t>
                </w:r>
              </w:hyperlink>
            </w:p>
            <w:p w14:paraId="5B63CC6F" w14:textId="18D1EE00" w:rsidR="00A85394" w:rsidRPr="00670221" w:rsidRDefault="00A85394" w:rsidP="00A85394">
              <w:pPr>
                <w:rPr>
                  <w:rStyle w:val="Hyperlink"/>
                  <w:lang w:val="en-US"/>
                </w:rPr>
              </w:pPr>
              <w:r w:rsidRPr="00670221">
                <w:rPr>
                  <w:lang w:val="en-US"/>
                </w:rPr>
                <w:t xml:space="preserve">Zeeshan, M., Kidder, M. K., </w:t>
              </w:r>
              <w:proofErr w:type="spellStart"/>
              <w:r w:rsidRPr="00670221">
                <w:rPr>
                  <w:lang w:val="en-US"/>
                </w:rPr>
                <w:t>Pentzer</w:t>
              </w:r>
              <w:proofErr w:type="spellEnd"/>
              <w:r w:rsidRPr="00670221">
                <w:rPr>
                  <w:lang w:val="en-US"/>
                </w:rPr>
                <w:t xml:space="preserve">, E., </w:t>
              </w:r>
              <w:proofErr w:type="spellStart"/>
              <w:r w:rsidRPr="00670221">
                <w:rPr>
                  <w:lang w:val="en-US"/>
                </w:rPr>
                <w:t>Getman</w:t>
              </w:r>
              <w:proofErr w:type="spellEnd"/>
              <w:r w:rsidRPr="00670221">
                <w:rPr>
                  <w:lang w:val="en-US"/>
                </w:rPr>
                <w:t xml:space="preserve">, R. B., &amp; Gurkan, B. (2023). Direct air capture of CO2: from insights into the current and emerging approaches to future opportunities. </w:t>
              </w:r>
              <w:r w:rsidRPr="00670221">
                <w:rPr>
                  <w:i/>
                  <w:iCs/>
                  <w:lang w:val="en-US"/>
                </w:rPr>
                <w:t>Frontiers in Sustainability</w:t>
              </w:r>
              <w:r w:rsidRPr="00670221">
                <w:rPr>
                  <w:lang w:val="en-US"/>
                </w:rPr>
                <w:t xml:space="preserve">, </w:t>
              </w:r>
              <w:r w:rsidRPr="00670221">
                <w:rPr>
                  <w:i/>
                  <w:iCs/>
                  <w:lang w:val="en-US"/>
                </w:rPr>
                <w:t>4</w:t>
              </w:r>
              <w:r w:rsidRPr="00670221">
                <w:rPr>
                  <w:lang w:val="en-US"/>
                </w:rPr>
                <w:t xml:space="preserve">. </w:t>
              </w:r>
              <w:hyperlink r:id="rId177" w:history="1">
                <w:r w:rsidRPr="00670221">
                  <w:rPr>
                    <w:rStyle w:val="Hyperlink"/>
                    <w:lang w:val="en-US"/>
                  </w:rPr>
                  <w:t>https://doi.org/10.3389/frsus.2023.1167713</w:t>
                </w:r>
              </w:hyperlink>
            </w:p>
            <w:p w14:paraId="7AC616CB" w14:textId="23FCF6B1" w:rsidR="00A85394" w:rsidRPr="00670221" w:rsidRDefault="00CF1467" w:rsidP="00A85394">
              <w:pPr>
                <w:rPr>
                  <w:lang w:val="en-US"/>
                </w:rPr>
              </w:pPr>
              <w:r w:rsidRPr="00670221">
                <w:rPr>
                  <w:lang w:val="en-US"/>
                </w:rPr>
                <w:t xml:space="preserve">Zheng, Y., Wang, J., Yu, B., Zhang, W., Chen, J., Qiao, J., &amp; Zhang, J. (2017). A review of high temperature co-electrolysis of H2O and CO2to produce sustainable fuels using solid oxide electrolysis cells (SOECs): advanced materials and technology. </w:t>
              </w:r>
              <w:r w:rsidRPr="00670221">
                <w:rPr>
                  <w:i/>
                  <w:iCs/>
                  <w:lang w:val="en-US"/>
                </w:rPr>
                <w:t>Chemical Society Reviews, 46</w:t>
              </w:r>
              <w:r w:rsidRPr="00670221">
                <w:rPr>
                  <w:lang w:val="en-US"/>
                </w:rPr>
                <w:t xml:space="preserve">(5), 1427–1463. </w:t>
              </w:r>
              <w:hyperlink r:id="rId178" w:history="1">
                <w:r w:rsidRPr="00670221">
                  <w:rPr>
                    <w:rStyle w:val="Hyperlink"/>
                    <w:lang w:val="en-US"/>
                  </w:rPr>
                  <w:t>https://doi.org/10.1039/c6cs00403b</w:t>
                </w:r>
              </w:hyperlink>
            </w:p>
          </w:sdtContent>
        </w:sdt>
      </w:sdtContent>
    </w:sdt>
    <w:p w14:paraId="2630FF26" w14:textId="6C88DCFD" w:rsidR="00A16717" w:rsidRPr="00670221" w:rsidRDefault="00A16717" w:rsidP="00A85394">
      <w:pPr>
        <w:rPr>
          <w:lang w:val="en-US"/>
        </w:rPr>
      </w:pPr>
      <w:r w:rsidRPr="00670221">
        <w:rPr>
          <w:lang w:val="en-US"/>
        </w:rPr>
        <w:br w:type="page"/>
      </w:r>
    </w:p>
    <w:bookmarkEnd w:id="132"/>
    <w:p w14:paraId="34B566A5" w14:textId="771C322D" w:rsidR="00502C92" w:rsidRPr="00670221" w:rsidRDefault="00502C92">
      <w:pPr>
        <w:rPr>
          <w:lang w:val="en-US"/>
        </w:rPr>
      </w:pPr>
    </w:p>
    <w:p w14:paraId="4CF88098" w14:textId="4C38BFCC" w:rsidR="00A16717" w:rsidRPr="00670221" w:rsidRDefault="00A16717">
      <w:pPr>
        <w:spacing w:before="0" w:after="0"/>
        <w:jc w:val="left"/>
        <w:rPr>
          <w:lang w:val="en-US"/>
        </w:rPr>
      </w:pPr>
      <w:r w:rsidRPr="00670221">
        <w:rPr>
          <w:lang w:val="en-US"/>
        </w:rPr>
        <w:br w:type="page"/>
      </w:r>
    </w:p>
    <w:p w14:paraId="19B78A75" w14:textId="77777777" w:rsidR="00A16717" w:rsidRPr="00670221" w:rsidRDefault="00A16717" w:rsidP="00A16717">
      <w:pPr>
        <w:pStyle w:val="Heading1"/>
      </w:pPr>
      <w:bookmarkStart w:id="134" w:name="_Toc184403475"/>
      <w:r w:rsidRPr="00670221">
        <w:lastRenderedPageBreak/>
        <w:t>Appendix</w:t>
      </w:r>
      <w:bookmarkEnd w:id="134"/>
    </w:p>
    <w:p w14:paraId="1B4EC7F3" w14:textId="77777777" w:rsidR="00A16717" w:rsidRPr="00670221" w:rsidRDefault="00A16717" w:rsidP="00A16717">
      <w:pPr>
        <w:rPr>
          <w:lang w:val="en-US"/>
        </w:rPr>
      </w:pPr>
    </w:p>
    <w:p w14:paraId="3969BC02" w14:textId="3073C334" w:rsidR="00A85394" w:rsidRPr="00670221" w:rsidRDefault="00A16717" w:rsidP="003F3D67">
      <w:pPr>
        <w:pStyle w:val="Caption"/>
        <w:jc w:val="left"/>
        <w:rPr>
          <w:i w:val="0"/>
          <w:iCs w:val="0"/>
          <w:sz w:val="22"/>
          <w:szCs w:val="21"/>
          <w:lang w:val="en-US"/>
        </w:rPr>
      </w:pPr>
      <w:r w:rsidRPr="00670221">
        <w:rPr>
          <w:b/>
          <w:bCs/>
          <w:i w:val="0"/>
          <w:iCs w:val="0"/>
          <w:sz w:val="22"/>
          <w:szCs w:val="21"/>
          <w:lang w:val="en-US"/>
        </w:rPr>
        <w:t>Appendix A:</w:t>
      </w:r>
      <w:r w:rsidR="00D01C19" w:rsidRPr="00670221">
        <w:rPr>
          <w:i w:val="0"/>
          <w:iCs w:val="0"/>
          <w:sz w:val="22"/>
          <w:szCs w:val="21"/>
          <w:lang w:val="en-US"/>
        </w:rPr>
        <w:t xml:space="preserve"> overview of the synonyms used in the preliminary literature review, as well as the final query.</w:t>
      </w:r>
    </w:p>
    <w:tbl>
      <w:tblPr>
        <w:tblStyle w:val="TableGrid"/>
        <w:tblW w:w="0" w:type="auto"/>
        <w:tblLook w:val="04A0" w:firstRow="1" w:lastRow="0" w:firstColumn="1" w:lastColumn="0" w:noHBand="0" w:noVBand="1"/>
      </w:tblPr>
      <w:tblGrid>
        <w:gridCol w:w="4508"/>
        <w:gridCol w:w="4508"/>
      </w:tblGrid>
      <w:tr w:rsidR="00A85394" w:rsidRPr="00670221" w14:paraId="024B3300" w14:textId="77777777" w:rsidTr="002D5AC7">
        <w:tc>
          <w:tcPr>
            <w:tcW w:w="4508" w:type="dxa"/>
          </w:tcPr>
          <w:p w14:paraId="285E66BB" w14:textId="77777777" w:rsidR="00A85394" w:rsidRPr="00670221" w:rsidRDefault="00A85394" w:rsidP="002D5AC7">
            <w:pPr>
              <w:rPr>
                <w:b/>
                <w:bCs/>
                <w:sz w:val="20"/>
                <w:szCs w:val="20"/>
                <w:lang w:val="en-US"/>
              </w:rPr>
            </w:pPr>
            <w:r w:rsidRPr="00670221">
              <w:rPr>
                <w:b/>
                <w:bCs/>
                <w:sz w:val="20"/>
                <w:szCs w:val="20"/>
                <w:lang w:val="en-US"/>
              </w:rPr>
              <w:t>Key search term</w:t>
            </w:r>
          </w:p>
        </w:tc>
        <w:tc>
          <w:tcPr>
            <w:tcW w:w="4508" w:type="dxa"/>
          </w:tcPr>
          <w:p w14:paraId="4897CAC8" w14:textId="77777777" w:rsidR="00A85394" w:rsidRPr="00670221" w:rsidRDefault="00A85394" w:rsidP="002D5AC7">
            <w:pPr>
              <w:rPr>
                <w:b/>
                <w:bCs/>
                <w:sz w:val="20"/>
                <w:szCs w:val="20"/>
                <w:lang w:val="en-US"/>
              </w:rPr>
            </w:pPr>
            <w:r w:rsidRPr="00670221">
              <w:rPr>
                <w:b/>
                <w:bCs/>
                <w:sz w:val="20"/>
                <w:szCs w:val="20"/>
                <w:lang w:val="en-US"/>
              </w:rPr>
              <w:t>Synonyms</w:t>
            </w:r>
          </w:p>
        </w:tc>
      </w:tr>
      <w:tr w:rsidR="00A85394" w:rsidRPr="00670221" w14:paraId="195F4D08" w14:textId="77777777" w:rsidTr="002D5AC7">
        <w:tc>
          <w:tcPr>
            <w:tcW w:w="4508" w:type="dxa"/>
          </w:tcPr>
          <w:p w14:paraId="19F04066" w14:textId="77777777" w:rsidR="00A85394" w:rsidRPr="00670221" w:rsidRDefault="00A85394" w:rsidP="002D5AC7">
            <w:pPr>
              <w:jc w:val="left"/>
              <w:rPr>
                <w:sz w:val="20"/>
                <w:szCs w:val="20"/>
                <w:lang w:val="en-US"/>
              </w:rPr>
            </w:pPr>
            <w:r w:rsidRPr="00670221">
              <w:rPr>
                <w:sz w:val="20"/>
                <w:szCs w:val="20"/>
                <w:lang w:val="en-US"/>
              </w:rPr>
              <w:t>DAC</w:t>
            </w:r>
          </w:p>
        </w:tc>
        <w:tc>
          <w:tcPr>
            <w:tcW w:w="4508" w:type="dxa"/>
          </w:tcPr>
          <w:p w14:paraId="30E341C7" w14:textId="77777777" w:rsidR="00A85394" w:rsidRPr="00670221" w:rsidRDefault="00A85394" w:rsidP="002D5AC7">
            <w:pPr>
              <w:rPr>
                <w:sz w:val="20"/>
                <w:szCs w:val="20"/>
                <w:lang w:val="en-US"/>
              </w:rPr>
            </w:pPr>
            <w:r w:rsidRPr="00670221">
              <w:rPr>
                <w:sz w:val="20"/>
                <w:szCs w:val="20"/>
                <w:lang w:val="en-US"/>
              </w:rPr>
              <w:t>Direct air capture, air-based carbon capture, carbon dioxide removal from air, atmospheric carbon capture, carbon removal from atmosphere, and direct CO2 capture</w:t>
            </w:r>
          </w:p>
        </w:tc>
      </w:tr>
      <w:tr w:rsidR="00A85394" w:rsidRPr="00670221" w14:paraId="50B283E2" w14:textId="77777777" w:rsidTr="002D5AC7">
        <w:tc>
          <w:tcPr>
            <w:tcW w:w="4508" w:type="dxa"/>
          </w:tcPr>
          <w:p w14:paraId="781AE84C" w14:textId="77777777" w:rsidR="00A85394" w:rsidRPr="00670221" w:rsidRDefault="00A85394" w:rsidP="002D5AC7">
            <w:pPr>
              <w:jc w:val="left"/>
              <w:rPr>
                <w:sz w:val="20"/>
                <w:szCs w:val="20"/>
                <w:lang w:val="en-US"/>
              </w:rPr>
            </w:pPr>
            <w:proofErr w:type="spellStart"/>
            <w:r w:rsidRPr="00670221">
              <w:rPr>
                <w:sz w:val="20"/>
                <w:szCs w:val="20"/>
                <w:lang w:val="en-US"/>
              </w:rPr>
              <w:t>eSAF</w:t>
            </w:r>
            <w:proofErr w:type="spellEnd"/>
          </w:p>
        </w:tc>
        <w:tc>
          <w:tcPr>
            <w:tcW w:w="4508" w:type="dxa"/>
          </w:tcPr>
          <w:p w14:paraId="3B4E94E2" w14:textId="77777777" w:rsidR="00A85394" w:rsidRPr="00670221" w:rsidRDefault="00A85394" w:rsidP="006C6448">
            <w:pPr>
              <w:keepNext/>
              <w:rPr>
                <w:sz w:val="20"/>
                <w:szCs w:val="20"/>
                <w:lang w:val="en-US"/>
              </w:rPr>
            </w:pPr>
            <w:proofErr w:type="spellStart"/>
            <w:r w:rsidRPr="00670221">
              <w:rPr>
                <w:sz w:val="20"/>
                <w:szCs w:val="20"/>
                <w:lang w:val="en-US"/>
              </w:rPr>
              <w:t>Efuel</w:t>
            </w:r>
            <w:proofErr w:type="spellEnd"/>
            <w:r w:rsidRPr="00670221">
              <w:rPr>
                <w:sz w:val="20"/>
                <w:szCs w:val="20"/>
                <w:lang w:val="en-US"/>
              </w:rPr>
              <w:t xml:space="preserve">, e-fuel, </w:t>
            </w:r>
            <w:proofErr w:type="spellStart"/>
            <w:r w:rsidRPr="00670221">
              <w:rPr>
                <w:sz w:val="20"/>
                <w:szCs w:val="20"/>
                <w:lang w:val="en-US"/>
              </w:rPr>
              <w:t>electrofuel</w:t>
            </w:r>
            <w:proofErr w:type="spellEnd"/>
            <w:r w:rsidRPr="00670221">
              <w:rPr>
                <w:sz w:val="20"/>
                <w:szCs w:val="20"/>
                <w:lang w:val="en-US"/>
              </w:rPr>
              <w:t xml:space="preserve">, aviation, </w:t>
            </w:r>
            <w:proofErr w:type="spellStart"/>
            <w:r w:rsidRPr="00670221">
              <w:rPr>
                <w:sz w:val="20"/>
                <w:szCs w:val="20"/>
                <w:lang w:val="en-US"/>
              </w:rPr>
              <w:t>eSAF</w:t>
            </w:r>
            <w:proofErr w:type="spellEnd"/>
            <w:r w:rsidRPr="00670221">
              <w:rPr>
                <w:sz w:val="20"/>
                <w:szCs w:val="20"/>
                <w:lang w:val="en-US"/>
              </w:rPr>
              <w:t xml:space="preserve">, synthetic aviation fuel, Power to liquid, </w:t>
            </w:r>
            <w:proofErr w:type="spellStart"/>
            <w:r w:rsidRPr="00670221">
              <w:rPr>
                <w:sz w:val="20"/>
                <w:szCs w:val="20"/>
                <w:lang w:val="en-US"/>
              </w:rPr>
              <w:t>PtL</w:t>
            </w:r>
            <w:proofErr w:type="spellEnd"/>
            <w:r w:rsidRPr="00670221">
              <w:rPr>
                <w:sz w:val="20"/>
                <w:szCs w:val="20"/>
                <w:lang w:val="en-US"/>
              </w:rPr>
              <w:t xml:space="preserve">, electricity to liquid, jet fuel, </w:t>
            </w:r>
            <w:proofErr w:type="spellStart"/>
            <w:r w:rsidRPr="00670221">
              <w:rPr>
                <w:sz w:val="20"/>
                <w:szCs w:val="20"/>
                <w:lang w:val="en-US"/>
              </w:rPr>
              <w:t>ekerosene</w:t>
            </w:r>
            <w:proofErr w:type="spellEnd"/>
            <w:r w:rsidRPr="00670221">
              <w:rPr>
                <w:sz w:val="20"/>
                <w:szCs w:val="20"/>
                <w:lang w:val="en-US"/>
              </w:rPr>
              <w:t>, electro-fuel, and synthetic kerosene</w:t>
            </w:r>
          </w:p>
        </w:tc>
      </w:tr>
    </w:tbl>
    <w:p w14:paraId="68428F81" w14:textId="4A2E0AC9" w:rsidR="006C6448" w:rsidRPr="00670221" w:rsidRDefault="006C6448">
      <w:pPr>
        <w:pStyle w:val="Caption"/>
        <w:rPr>
          <w:lang w:val="en-US"/>
        </w:rPr>
      </w:pPr>
      <w:bookmarkStart w:id="135" w:name="_Toc184403572"/>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w:t>
      </w:r>
      <w:r w:rsidR="002A3EA2" w:rsidRPr="00670221">
        <w:rPr>
          <w:lang w:val="en-US"/>
        </w:rPr>
        <w:fldChar w:fldCharType="end"/>
      </w:r>
      <w:r w:rsidRPr="00670221">
        <w:rPr>
          <w:lang w:val="en-US"/>
        </w:rPr>
        <w:t>: Key search terms and corresponding synonyms</w:t>
      </w:r>
      <w:bookmarkEnd w:id="135"/>
    </w:p>
    <w:p w14:paraId="72ACBFD2" w14:textId="4C736791" w:rsidR="00226EC8" w:rsidRPr="00670221" w:rsidRDefault="00A85394" w:rsidP="006C6448">
      <w:pPr>
        <w:rPr>
          <w:sz w:val="20"/>
          <w:szCs w:val="20"/>
          <w:lang w:val="en-US"/>
        </w:rPr>
        <w:sectPr w:rsidR="00226EC8" w:rsidRPr="00670221" w:rsidSect="00B771FD">
          <w:headerReference w:type="default" r:id="rId179"/>
          <w:pgSz w:w="11906" w:h="16838"/>
          <w:pgMar w:top="1440" w:right="1440" w:bottom="1440" w:left="1440" w:header="708" w:footer="708" w:gutter="0"/>
          <w:pgNumType w:start="1"/>
          <w:cols w:space="708"/>
          <w:docGrid w:linePitch="360"/>
        </w:sectPr>
      </w:pPr>
      <w:r w:rsidRPr="00670221">
        <w:rPr>
          <w:b/>
          <w:bCs/>
          <w:sz w:val="20"/>
          <w:szCs w:val="20"/>
          <w:lang w:val="en-US"/>
        </w:rPr>
        <w:t>Search query:</w:t>
      </w:r>
      <w:r w:rsidRPr="00670221">
        <w:rPr>
          <w:sz w:val="20"/>
          <w:szCs w:val="20"/>
          <w:lang w:val="en-US"/>
        </w:rPr>
        <w:t xml:space="preserve"> ("direct air capture" OR "Air-based Carbon Capture" OR "Carbon Dioxide Removal from Air" OR "Atmospheric Carbon Capture" OR "Carbon Removal from Atmosphere" OR "Direct CO2 Capture" ) AND ( "</w:t>
      </w:r>
      <w:proofErr w:type="spellStart"/>
      <w:r w:rsidRPr="00670221">
        <w:rPr>
          <w:sz w:val="20"/>
          <w:szCs w:val="20"/>
          <w:lang w:val="en-US"/>
        </w:rPr>
        <w:t>efuel</w:t>
      </w:r>
      <w:proofErr w:type="spellEnd"/>
      <w:r w:rsidRPr="00670221">
        <w:rPr>
          <w:sz w:val="20"/>
          <w:szCs w:val="20"/>
          <w:lang w:val="en-US"/>
        </w:rPr>
        <w:t>" OR "e-fuel" OR "</w:t>
      </w:r>
      <w:proofErr w:type="spellStart"/>
      <w:r w:rsidRPr="00670221">
        <w:rPr>
          <w:sz w:val="20"/>
          <w:szCs w:val="20"/>
          <w:lang w:val="en-US"/>
        </w:rPr>
        <w:t>electrofuel</w:t>
      </w:r>
      <w:proofErr w:type="spellEnd"/>
      <w:r w:rsidRPr="00670221">
        <w:rPr>
          <w:sz w:val="20"/>
          <w:szCs w:val="20"/>
          <w:lang w:val="en-US"/>
        </w:rPr>
        <w:t>" OR "aviation" OR "</w:t>
      </w:r>
      <w:proofErr w:type="spellStart"/>
      <w:r w:rsidRPr="00670221">
        <w:rPr>
          <w:sz w:val="20"/>
          <w:szCs w:val="20"/>
          <w:lang w:val="en-US"/>
        </w:rPr>
        <w:t>eSAF</w:t>
      </w:r>
      <w:proofErr w:type="spellEnd"/>
      <w:r w:rsidRPr="00670221">
        <w:rPr>
          <w:sz w:val="20"/>
          <w:szCs w:val="20"/>
          <w:lang w:val="en-US"/>
        </w:rPr>
        <w:t>" OR "synthetic aviation fuel" OR "Power to liquid" OR "</w:t>
      </w:r>
      <w:proofErr w:type="spellStart"/>
      <w:r w:rsidRPr="00670221">
        <w:rPr>
          <w:sz w:val="20"/>
          <w:szCs w:val="20"/>
          <w:lang w:val="en-US"/>
        </w:rPr>
        <w:t>PtL</w:t>
      </w:r>
      <w:proofErr w:type="spellEnd"/>
      <w:r w:rsidRPr="00670221">
        <w:rPr>
          <w:sz w:val="20"/>
          <w:szCs w:val="20"/>
          <w:lang w:val="en-US"/>
        </w:rPr>
        <w:t>" OR "electricity to liquid" OR "jet fuel" OR "</w:t>
      </w:r>
      <w:proofErr w:type="spellStart"/>
      <w:r w:rsidRPr="00670221">
        <w:rPr>
          <w:sz w:val="20"/>
          <w:szCs w:val="20"/>
          <w:lang w:val="en-US"/>
        </w:rPr>
        <w:t>ekerosene</w:t>
      </w:r>
      <w:proofErr w:type="spellEnd"/>
      <w:r w:rsidRPr="00670221">
        <w:rPr>
          <w:sz w:val="20"/>
          <w:szCs w:val="20"/>
          <w:lang w:val="en-US"/>
        </w:rPr>
        <w:t>" OR "electro-fuel" OR "synthetic kerosene")</w:t>
      </w:r>
    </w:p>
    <w:p w14:paraId="39BC50EC" w14:textId="5A6EE511" w:rsidR="00F222D2" w:rsidRPr="00670221" w:rsidRDefault="00F07DB9" w:rsidP="005116D7">
      <w:pPr>
        <w:rPr>
          <w:lang w:val="en-US"/>
        </w:rPr>
      </w:pPr>
      <w:r w:rsidRPr="00670221">
        <w:rPr>
          <w:b/>
          <w:bCs/>
          <w:lang w:val="en-US"/>
        </w:rPr>
        <w:lastRenderedPageBreak/>
        <w:t xml:space="preserve">Appendix </w:t>
      </w:r>
      <w:r w:rsidR="006C6448" w:rsidRPr="00670221">
        <w:rPr>
          <w:b/>
          <w:bCs/>
          <w:lang w:val="en-US"/>
        </w:rPr>
        <w:t>B</w:t>
      </w:r>
      <w:r w:rsidRPr="00670221">
        <w:rPr>
          <w:b/>
          <w:bCs/>
          <w:lang w:val="en-US"/>
        </w:rPr>
        <w:t>:</w:t>
      </w:r>
      <w:r w:rsidRPr="00670221">
        <w:rPr>
          <w:lang w:val="en-US"/>
        </w:rPr>
        <w:t xml:space="preserve"> </w:t>
      </w:r>
      <w:r w:rsidR="00E642FB" w:rsidRPr="00670221">
        <w:rPr>
          <w:lang w:val="en-US"/>
        </w:rPr>
        <w:t>list of final 23 articles for the</w:t>
      </w:r>
      <w:r w:rsidRPr="00670221">
        <w:rPr>
          <w:lang w:val="en-US"/>
        </w:rPr>
        <w:t xml:space="preserve"> literature gap </w:t>
      </w:r>
      <w:r w:rsidR="00620167" w:rsidRPr="00670221">
        <w:rPr>
          <w:lang w:val="en-US"/>
        </w:rPr>
        <w:t>+ reason for exclusion.</w:t>
      </w:r>
      <w:r w:rsidR="00F222D2" w:rsidRPr="00670221">
        <w:rPr>
          <w:lang w:val="en-US"/>
        </w:rPr>
        <w:t xml:space="preserve"> Green = selected. Orange = excluded</w:t>
      </w:r>
    </w:p>
    <w:p w14:paraId="48AF7A7C" w14:textId="1A7D6BF9" w:rsidR="00971748" w:rsidRPr="00670221" w:rsidRDefault="00B87CA5" w:rsidP="00971748">
      <w:pPr>
        <w:jc w:val="center"/>
        <w:rPr>
          <w:lang w:val="en-US"/>
        </w:rPr>
      </w:pPr>
      <w:r w:rsidRPr="00670221">
        <w:rPr>
          <w:noProof/>
          <w:lang w:val="en-US"/>
        </w:rPr>
        <w:drawing>
          <wp:inline distT="0" distB="0" distL="0" distR="0" wp14:anchorId="58A3F37E" wp14:editId="64A8A95D">
            <wp:extent cx="8863330" cy="4250690"/>
            <wp:effectExtent l="0" t="0" r="1270" b="3810"/>
            <wp:docPr id="148388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86160" name=""/>
                    <pic:cNvPicPr/>
                  </pic:nvPicPr>
                  <pic:blipFill>
                    <a:blip r:embed="rId180"/>
                    <a:stretch>
                      <a:fillRect/>
                    </a:stretch>
                  </pic:blipFill>
                  <pic:spPr>
                    <a:xfrm>
                      <a:off x="0" y="0"/>
                      <a:ext cx="8863330" cy="4250690"/>
                    </a:xfrm>
                    <a:prstGeom prst="rect">
                      <a:avLst/>
                    </a:prstGeom>
                  </pic:spPr>
                </pic:pic>
              </a:graphicData>
            </a:graphic>
          </wp:inline>
        </w:drawing>
      </w:r>
    </w:p>
    <w:p w14:paraId="4FFC9D8D" w14:textId="77777777" w:rsidR="00A16717" w:rsidRPr="00670221" w:rsidRDefault="00A16717">
      <w:pPr>
        <w:spacing w:before="0" w:after="0"/>
        <w:jc w:val="left"/>
        <w:rPr>
          <w:lang w:val="en-US"/>
        </w:rPr>
      </w:pPr>
      <w:r w:rsidRPr="00670221">
        <w:rPr>
          <w:lang w:val="en-US"/>
        </w:rPr>
        <w:br w:type="page"/>
      </w:r>
    </w:p>
    <w:p w14:paraId="1C210FB2" w14:textId="38AF1801" w:rsidR="00971748" w:rsidRPr="00670221" w:rsidRDefault="00BD7F69" w:rsidP="009A67BA">
      <w:pPr>
        <w:rPr>
          <w:lang w:val="en-US"/>
        </w:rPr>
      </w:pPr>
      <w:r w:rsidRPr="00670221">
        <w:rPr>
          <w:b/>
          <w:bCs/>
          <w:lang w:val="en-US"/>
        </w:rPr>
        <w:lastRenderedPageBreak/>
        <w:t xml:space="preserve">Appendix </w:t>
      </w:r>
      <w:r w:rsidR="00A16717" w:rsidRPr="00670221">
        <w:rPr>
          <w:b/>
          <w:bCs/>
          <w:lang w:val="en-US"/>
        </w:rPr>
        <w:t>C</w:t>
      </w:r>
      <w:r w:rsidRPr="00670221">
        <w:rPr>
          <w:b/>
          <w:bCs/>
          <w:lang w:val="en-US"/>
        </w:rPr>
        <w:t>:</w:t>
      </w:r>
      <w:r w:rsidRPr="00670221">
        <w:rPr>
          <w:lang w:val="en-US"/>
        </w:rPr>
        <w:t xml:space="preserve"> Overview of the selected literature. Purple = techno-economic analysis of standard production pathway. Blue = techno-economic analysis of novel production pathway. Green = life cycle analysis. Purple/green = combined techno-economic and life cycle analysis. Purple/blue = combination of standard and novel production pathway</w:t>
      </w:r>
    </w:p>
    <w:p w14:paraId="56E17A04" w14:textId="77777777" w:rsidR="00237EEC" w:rsidRPr="00670221" w:rsidRDefault="00F32896" w:rsidP="00254ABA">
      <w:pPr>
        <w:jc w:val="left"/>
        <w:rPr>
          <w:lang w:val="en-US"/>
        </w:rPr>
      </w:pPr>
      <w:r w:rsidRPr="00670221">
        <w:rPr>
          <w:noProof/>
          <w:lang w:val="en-US"/>
        </w:rPr>
        <w:drawing>
          <wp:inline distT="0" distB="0" distL="0" distR="0" wp14:anchorId="43797F62" wp14:editId="46FD4DE9">
            <wp:extent cx="8863330" cy="4236720"/>
            <wp:effectExtent l="0" t="0" r="1270" b="5080"/>
            <wp:docPr id="17550166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16687" name="Picture 1" descr="A screenshot of a computer screen&#10;&#10;Description automatically generated"/>
                    <pic:cNvPicPr/>
                  </pic:nvPicPr>
                  <pic:blipFill>
                    <a:blip r:embed="rId181"/>
                    <a:stretch>
                      <a:fillRect/>
                    </a:stretch>
                  </pic:blipFill>
                  <pic:spPr>
                    <a:xfrm>
                      <a:off x="0" y="0"/>
                      <a:ext cx="8863330" cy="4236720"/>
                    </a:xfrm>
                    <a:prstGeom prst="rect">
                      <a:avLst/>
                    </a:prstGeom>
                  </pic:spPr>
                </pic:pic>
              </a:graphicData>
            </a:graphic>
          </wp:inline>
        </w:drawing>
      </w:r>
    </w:p>
    <w:p w14:paraId="757CAF9E" w14:textId="5FC3C1BF" w:rsidR="00237EEC" w:rsidRPr="00670221" w:rsidRDefault="00237EEC" w:rsidP="00254ABA">
      <w:pPr>
        <w:jc w:val="left"/>
        <w:rPr>
          <w:lang w:val="en-US"/>
        </w:rPr>
        <w:sectPr w:rsidR="00237EEC" w:rsidRPr="00670221" w:rsidSect="007F625E">
          <w:pgSz w:w="16838" w:h="11906" w:orient="landscape"/>
          <w:pgMar w:top="1440" w:right="1440" w:bottom="1440" w:left="1440" w:header="708" w:footer="708" w:gutter="0"/>
          <w:cols w:space="708"/>
          <w:docGrid w:linePitch="360"/>
        </w:sectPr>
      </w:pPr>
    </w:p>
    <w:p w14:paraId="52673C6A" w14:textId="58ED286A" w:rsidR="008621EF" w:rsidRPr="00670221" w:rsidRDefault="00A85394" w:rsidP="005116D7">
      <w:pPr>
        <w:rPr>
          <w:b/>
          <w:bCs/>
          <w:lang w:val="en-US"/>
        </w:rPr>
      </w:pPr>
      <w:r w:rsidRPr="00670221">
        <w:rPr>
          <w:b/>
          <w:bCs/>
          <w:lang w:val="en-US"/>
        </w:rPr>
        <w:lastRenderedPageBreak/>
        <w:t>Appendix D:</w:t>
      </w:r>
      <w:r w:rsidR="00767820" w:rsidRPr="00670221">
        <w:rPr>
          <w:b/>
          <w:bCs/>
          <w:lang w:val="en-US"/>
        </w:rPr>
        <w:t xml:space="preserve"> </w:t>
      </w:r>
      <w:r w:rsidR="00875D20" w:rsidRPr="00670221">
        <w:rPr>
          <w:lang w:val="en-US"/>
        </w:rPr>
        <w:t>S</w:t>
      </w:r>
      <w:r w:rsidR="00767820" w:rsidRPr="00670221">
        <w:rPr>
          <w:lang w:val="en-US"/>
        </w:rPr>
        <w:t xml:space="preserve">tructured </w:t>
      </w:r>
      <w:r w:rsidR="00875D20" w:rsidRPr="00670221">
        <w:rPr>
          <w:lang w:val="en-US"/>
        </w:rPr>
        <w:t>l</w:t>
      </w:r>
      <w:r w:rsidR="00767820" w:rsidRPr="00670221">
        <w:rPr>
          <w:lang w:val="en-US"/>
        </w:rPr>
        <w:t xml:space="preserve">iterature </w:t>
      </w:r>
      <w:r w:rsidR="00875D20" w:rsidRPr="00670221">
        <w:rPr>
          <w:lang w:val="en-US"/>
        </w:rPr>
        <w:t>r</w:t>
      </w:r>
      <w:r w:rsidR="00767820" w:rsidRPr="00670221">
        <w:rPr>
          <w:lang w:val="en-US"/>
        </w:rPr>
        <w:t>eview</w:t>
      </w:r>
    </w:p>
    <w:p w14:paraId="0971E28A" w14:textId="79345FED" w:rsidR="00ED1AE2" w:rsidRPr="00670221" w:rsidRDefault="006C6448" w:rsidP="005116D7">
      <w:pPr>
        <w:rPr>
          <w:b/>
          <w:bCs/>
          <w:lang w:val="en-US"/>
        </w:rPr>
      </w:pPr>
      <w:r w:rsidRPr="00670221">
        <w:rPr>
          <w:b/>
          <w:bCs/>
          <w:lang w:val="en-US"/>
        </w:rPr>
        <w:t xml:space="preserve"> </w:t>
      </w:r>
      <w:r w:rsidR="00EF5893" w:rsidRPr="00670221">
        <w:rPr>
          <w:b/>
          <w:bCs/>
          <w:noProof/>
          <w:lang w:val="en-US"/>
        </w:rPr>
        <w:drawing>
          <wp:inline distT="0" distB="0" distL="0" distR="0" wp14:anchorId="3CD6CC31" wp14:editId="7B687C40">
            <wp:extent cx="3937000" cy="2159000"/>
            <wp:effectExtent l="0" t="0" r="0" b="0"/>
            <wp:docPr id="1155885689" name="Picture 1" descr="A flowchart of a data process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85689" name="Picture 1" descr="A flowchart of a data processing process&#10;&#10;Description automatically generated"/>
                    <pic:cNvPicPr/>
                  </pic:nvPicPr>
                  <pic:blipFill>
                    <a:blip r:embed="rId182"/>
                    <a:stretch>
                      <a:fillRect/>
                    </a:stretch>
                  </pic:blipFill>
                  <pic:spPr>
                    <a:xfrm>
                      <a:off x="0" y="0"/>
                      <a:ext cx="3937000" cy="2159000"/>
                    </a:xfrm>
                    <a:prstGeom prst="rect">
                      <a:avLst/>
                    </a:prstGeom>
                  </pic:spPr>
                </pic:pic>
              </a:graphicData>
            </a:graphic>
          </wp:inline>
        </w:drawing>
      </w:r>
    </w:p>
    <w:p w14:paraId="60AC7385" w14:textId="77777777" w:rsidR="00EF5893" w:rsidRPr="00670221" w:rsidRDefault="00EF5893" w:rsidP="005116D7">
      <w:pPr>
        <w:rPr>
          <w:b/>
          <w:bCs/>
          <w:lang w:val="en-US"/>
        </w:rPr>
      </w:pPr>
    </w:p>
    <w:p w14:paraId="18699DF7" w14:textId="1D3445C6" w:rsidR="008621EF" w:rsidRPr="00670221" w:rsidRDefault="008621EF" w:rsidP="005116D7">
      <w:pPr>
        <w:rPr>
          <w:sz w:val="21"/>
          <w:szCs w:val="21"/>
          <w:lang w:val="en-US"/>
        </w:rPr>
      </w:pPr>
      <w:r w:rsidRPr="00670221">
        <w:rPr>
          <w:sz w:val="21"/>
          <w:szCs w:val="21"/>
          <w:lang w:val="en-US"/>
        </w:rPr>
        <w:t>TITLE-ABS-KEY((</w:t>
      </w:r>
      <w:proofErr w:type="spellStart"/>
      <w:r w:rsidRPr="00670221">
        <w:rPr>
          <w:sz w:val="21"/>
          <w:szCs w:val="21"/>
          <w:lang w:val="en-US"/>
        </w:rPr>
        <w:t>efuel</w:t>
      </w:r>
      <w:proofErr w:type="spellEnd"/>
      <w:r w:rsidRPr="00670221">
        <w:rPr>
          <w:sz w:val="21"/>
          <w:szCs w:val="21"/>
          <w:lang w:val="en-US"/>
        </w:rPr>
        <w:t xml:space="preserve"> OR e-fuel OR </w:t>
      </w:r>
      <w:proofErr w:type="spellStart"/>
      <w:r w:rsidRPr="00670221">
        <w:rPr>
          <w:sz w:val="21"/>
          <w:szCs w:val="21"/>
          <w:lang w:val="en-US"/>
        </w:rPr>
        <w:t>esaf</w:t>
      </w:r>
      <w:proofErr w:type="spellEnd"/>
      <w:r w:rsidRPr="00670221">
        <w:rPr>
          <w:sz w:val="21"/>
          <w:szCs w:val="21"/>
          <w:lang w:val="en-US"/>
        </w:rPr>
        <w:t xml:space="preserve"> OR </w:t>
      </w:r>
      <w:proofErr w:type="spellStart"/>
      <w:r w:rsidRPr="00670221">
        <w:rPr>
          <w:sz w:val="21"/>
          <w:szCs w:val="21"/>
          <w:lang w:val="en-US"/>
        </w:rPr>
        <w:t>electrofuel</w:t>
      </w:r>
      <w:proofErr w:type="spellEnd"/>
      <w:r w:rsidRPr="00670221">
        <w:rPr>
          <w:sz w:val="21"/>
          <w:szCs w:val="21"/>
          <w:lang w:val="en-US"/>
        </w:rPr>
        <w:t xml:space="preserve"> OR electro-fuel OR </w:t>
      </w:r>
      <w:proofErr w:type="spellStart"/>
      <w:r w:rsidRPr="00670221">
        <w:rPr>
          <w:sz w:val="21"/>
          <w:szCs w:val="21"/>
          <w:lang w:val="en-US"/>
        </w:rPr>
        <w:t>ekerosene</w:t>
      </w:r>
      <w:proofErr w:type="spellEnd"/>
      <w:r w:rsidRPr="00670221">
        <w:rPr>
          <w:sz w:val="21"/>
          <w:szCs w:val="21"/>
          <w:lang w:val="en-US"/>
        </w:rPr>
        <w:t xml:space="preserve"> OR e-liquid OR e-kerosene OR power-to-liquid OR </w:t>
      </w:r>
      <w:proofErr w:type="spellStart"/>
      <w:r w:rsidRPr="00670221">
        <w:rPr>
          <w:sz w:val="21"/>
          <w:szCs w:val="21"/>
          <w:lang w:val="en-US"/>
        </w:rPr>
        <w:t>ptl</w:t>
      </w:r>
      <w:proofErr w:type="spellEnd"/>
      <w:r w:rsidRPr="00670221">
        <w:rPr>
          <w:sz w:val="21"/>
          <w:szCs w:val="21"/>
          <w:lang w:val="en-US"/>
        </w:rPr>
        <w:t xml:space="preserve"> OR p-t-l OR power-to-x OR </w:t>
      </w:r>
      <w:proofErr w:type="spellStart"/>
      <w:r w:rsidRPr="00670221">
        <w:rPr>
          <w:sz w:val="21"/>
          <w:szCs w:val="21"/>
          <w:lang w:val="en-US"/>
        </w:rPr>
        <w:t>ptx</w:t>
      </w:r>
      <w:proofErr w:type="spellEnd"/>
      <w:r w:rsidRPr="00670221">
        <w:rPr>
          <w:sz w:val="21"/>
          <w:szCs w:val="21"/>
          <w:lang w:val="en-US"/>
        </w:rPr>
        <w:t xml:space="preserve"> OR p-t-x OR ( e AND fuel ) OR ( electro AND fuel ) OR ( aviation AND fuel ) OR ( power AND to AND liquid ) OR (power AND to AND x) OR ( electricity AND fuel )) AND (techno-economic OR economic OR tea OR ( levelized AND cost ) OR ( techno AND economic )) AND (carbon OR CO2 OR (carbon AND dioxide)) AND (EU OR Europe OR (European AND union)) AND (aviation OR flight OR kerosene OR jet OR (air AND travel))) AND PUBYEAR &gt; 2020 AND PUBYEAR &lt; 2025 AND ( LIMIT-TO ( DOCTYPE,"</w:t>
      </w:r>
      <w:proofErr w:type="spellStart"/>
      <w:r w:rsidRPr="00670221">
        <w:rPr>
          <w:sz w:val="21"/>
          <w:szCs w:val="21"/>
          <w:lang w:val="en-US"/>
        </w:rPr>
        <w:t>ar</w:t>
      </w:r>
      <w:proofErr w:type="spellEnd"/>
      <w:r w:rsidRPr="00670221">
        <w:rPr>
          <w:sz w:val="21"/>
          <w:szCs w:val="21"/>
          <w:lang w:val="en-US"/>
        </w:rPr>
        <w:t xml:space="preserve">" ) OR LIMIT-TO ( </w:t>
      </w:r>
      <w:proofErr w:type="spellStart"/>
      <w:r w:rsidRPr="00670221">
        <w:rPr>
          <w:sz w:val="21"/>
          <w:szCs w:val="21"/>
          <w:lang w:val="en-US"/>
        </w:rPr>
        <w:t>DOCTYPE,"re</w:t>
      </w:r>
      <w:proofErr w:type="spellEnd"/>
      <w:r w:rsidRPr="00670221">
        <w:rPr>
          <w:sz w:val="21"/>
          <w:szCs w:val="21"/>
          <w:lang w:val="en-US"/>
        </w:rPr>
        <w:t>" ) )</w:t>
      </w:r>
    </w:p>
    <w:p w14:paraId="792EF5F1" w14:textId="63ABC269" w:rsidR="00463288" w:rsidRPr="00670221" w:rsidRDefault="00EF5893" w:rsidP="00EF5893">
      <w:pPr>
        <w:rPr>
          <w:lang w:val="en-US"/>
        </w:rPr>
      </w:pPr>
      <w:r w:rsidRPr="00670221">
        <w:rPr>
          <w:b/>
          <w:bCs/>
          <w:lang w:val="en-US"/>
        </w:rPr>
        <w:t xml:space="preserve">* </w:t>
      </w:r>
      <w:r w:rsidRPr="00670221">
        <w:rPr>
          <w:lang w:val="en-US"/>
        </w:rPr>
        <w:t>= backwards or forwards snowballing</w:t>
      </w:r>
    </w:p>
    <w:tbl>
      <w:tblPr>
        <w:tblStyle w:val="TableGrid"/>
        <w:tblW w:w="9073" w:type="dxa"/>
        <w:tblInd w:w="5" w:type="dxa"/>
        <w:tblLayout w:type="fixed"/>
        <w:tblLook w:val="04A0" w:firstRow="1" w:lastRow="0" w:firstColumn="1" w:lastColumn="0" w:noHBand="0" w:noVBand="1"/>
      </w:tblPr>
      <w:tblGrid>
        <w:gridCol w:w="1701"/>
        <w:gridCol w:w="1985"/>
        <w:gridCol w:w="1701"/>
        <w:gridCol w:w="3686"/>
      </w:tblGrid>
      <w:tr w:rsidR="007D368B" w:rsidRPr="00670221" w14:paraId="55105DFD" w14:textId="5C343083" w:rsidTr="00817B74">
        <w:tc>
          <w:tcPr>
            <w:tcW w:w="1701" w:type="dxa"/>
          </w:tcPr>
          <w:p w14:paraId="062DE2C8" w14:textId="678A9DD5" w:rsidR="007D368B" w:rsidRPr="00670221" w:rsidRDefault="007D368B" w:rsidP="005116D7">
            <w:pPr>
              <w:rPr>
                <w:b/>
                <w:bCs/>
                <w:lang w:val="en-US"/>
              </w:rPr>
            </w:pPr>
            <w:r w:rsidRPr="00670221">
              <w:rPr>
                <w:b/>
                <w:bCs/>
                <w:lang w:val="en-US"/>
              </w:rPr>
              <w:t>Number</w:t>
            </w:r>
          </w:p>
        </w:tc>
        <w:tc>
          <w:tcPr>
            <w:tcW w:w="1985" w:type="dxa"/>
          </w:tcPr>
          <w:p w14:paraId="2961C05D" w14:textId="0F6AF612" w:rsidR="007D368B" w:rsidRPr="00670221" w:rsidRDefault="007D368B" w:rsidP="005116D7">
            <w:pPr>
              <w:rPr>
                <w:b/>
                <w:bCs/>
                <w:lang w:val="en-US"/>
              </w:rPr>
            </w:pPr>
            <w:r w:rsidRPr="00670221">
              <w:rPr>
                <w:b/>
                <w:bCs/>
                <w:lang w:val="en-US"/>
              </w:rPr>
              <w:t>Author</w:t>
            </w:r>
          </w:p>
        </w:tc>
        <w:tc>
          <w:tcPr>
            <w:tcW w:w="1701" w:type="dxa"/>
          </w:tcPr>
          <w:p w14:paraId="261D81FC" w14:textId="5465AA81" w:rsidR="007D368B" w:rsidRPr="00670221" w:rsidRDefault="007D368B" w:rsidP="005116D7">
            <w:pPr>
              <w:rPr>
                <w:b/>
                <w:bCs/>
                <w:lang w:val="en-US"/>
              </w:rPr>
            </w:pPr>
            <w:r w:rsidRPr="00670221">
              <w:rPr>
                <w:b/>
                <w:bCs/>
                <w:lang w:val="en-US"/>
              </w:rPr>
              <w:t>Year</w:t>
            </w:r>
          </w:p>
        </w:tc>
        <w:tc>
          <w:tcPr>
            <w:tcW w:w="3686" w:type="dxa"/>
          </w:tcPr>
          <w:p w14:paraId="10CC3386" w14:textId="498C9BFD" w:rsidR="007D368B" w:rsidRPr="00670221" w:rsidRDefault="007D368B" w:rsidP="005116D7">
            <w:pPr>
              <w:rPr>
                <w:b/>
                <w:bCs/>
                <w:lang w:val="en-US"/>
              </w:rPr>
            </w:pPr>
            <w:r w:rsidRPr="00670221">
              <w:rPr>
                <w:b/>
                <w:bCs/>
                <w:lang w:val="en-US"/>
              </w:rPr>
              <w:t>Technology</w:t>
            </w:r>
          </w:p>
        </w:tc>
      </w:tr>
      <w:tr w:rsidR="007D368B" w:rsidRPr="00670221" w14:paraId="29C735AD" w14:textId="04E15EAB" w:rsidTr="00817B74">
        <w:tc>
          <w:tcPr>
            <w:tcW w:w="1701" w:type="dxa"/>
          </w:tcPr>
          <w:p w14:paraId="6FF28AA6" w14:textId="4BD5E97E" w:rsidR="007D368B" w:rsidRPr="00670221" w:rsidRDefault="007D368B" w:rsidP="005116D7">
            <w:pPr>
              <w:rPr>
                <w:lang w:val="en-US"/>
              </w:rPr>
            </w:pPr>
            <w:r w:rsidRPr="00670221">
              <w:rPr>
                <w:lang w:val="en-US"/>
              </w:rPr>
              <w:t>1</w:t>
            </w:r>
          </w:p>
        </w:tc>
        <w:tc>
          <w:tcPr>
            <w:tcW w:w="1985" w:type="dxa"/>
          </w:tcPr>
          <w:p w14:paraId="46BDF70B" w14:textId="0FDFA9C5" w:rsidR="007D368B" w:rsidRPr="00670221" w:rsidRDefault="007D368B" w:rsidP="005116D7">
            <w:pPr>
              <w:rPr>
                <w:lang w:val="en-US"/>
              </w:rPr>
            </w:pPr>
            <w:proofErr w:type="spellStart"/>
            <w:r w:rsidRPr="00670221">
              <w:rPr>
                <w:lang w:val="en-US"/>
              </w:rPr>
              <w:t>Oyew</w:t>
            </w:r>
            <w:r w:rsidR="005E2058" w:rsidRPr="00670221">
              <w:rPr>
                <w:lang w:val="en-US"/>
              </w:rPr>
              <w:t>o</w:t>
            </w:r>
            <w:proofErr w:type="spellEnd"/>
            <w:r w:rsidRPr="00670221">
              <w:rPr>
                <w:lang w:val="en-US"/>
              </w:rPr>
              <w:t xml:space="preserve"> et al.</w:t>
            </w:r>
          </w:p>
        </w:tc>
        <w:tc>
          <w:tcPr>
            <w:tcW w:w="1701" w:type="dxa"/>
          </w:tcPr>
          <w:p w14:paraId="00BB3AB0" w14:textId="299EE171" w:rsidR="007D368B" w:rsidRPr="00670221" w:rsidRDefault="007D368B" w:rsidP="005116D7">
            <w:pPr>
              <w:rPr>
                <w:lang w:val="en-US"/>
              </w:rPr>
            </w:pPr>
            <w:r w:rsidRPr="00670221">
              <w:rPr>
                <w:lang w:val="en-US"/>
              </w:rPr>
              <w:t>2024</w:t>
            </w:r>
          </w:p>
        </w:tc>
        <w:tc>
          <w:tcPr>
            <w:tcW w:w="3686" w:type="dxa"/>
          </w:tcPr>
          <w:p w14:paraId="3D17E15B" w14:textId="44ED01DA" w:rsidR="007D368B" w:rsidRPr="00670221" w:rsidRDefault="007D368B" w:rsidP="005116D7">
            <w:pPr>
              <w:rPr>
                <w:sz w:val="20"/>
                <w:szCs w:val="20"/>
                <w:lang w:val="en-US"/>
              </w:rPr>
            </w:pPr>
            <w:r w:rsidRPr="00670221">
              <w:rPr>
                <w:sz w:val="20"/>
                <w:szCs w:val="20"/>
                <w:lang w:val="en-US"/>
              </w:rPr>
              <w:t xml:space="preserve">Solar, alkaline, </w:t>
            </w:r>
            <w:r w:rsidR="00817B74" w:rsidRPr="00670221">
              <w:rPr>
                <w:sz w:val="20"/>
                <w:szCs w:val="20"/>
                <w:lang w:val="en-US"/>
              </w:rPr>
              <w:t xml:space="preserve">DAC CO2, </w:t>
            </w:r>
            <w:r w:rsidRPr="00670221">
              <w:rPr>
                <w:sz w:val="20"/>
                <w:szCs w:val="20"/>
                <w:lang w:val="en-US"/>
              </w:rPr>
              <w:t xml:space="preserve">FT, </w:t>
            </w:r>
            <w:r w:rsidR="005B4438" w:rsidRPr="00670221">
              <w:rPr>
                <w:sz w:val="20"/>
                <w:szCs w:val="20"/>
                <w:lang w:val="en-US"/>
              </w:rPr>
              <w:t>methanol,</w:t>
            </w:r>
            <w:r w:rsidRPr="00670221">
              <w:rPr>
                <w:sz w:val="20"/>
                <w:szCs w:val="20"/>
                <w:lang w:val="en-US"/>
              </w:rPr>
              <w:t xml:space="preserve"> and ammonia</w:t>
            </w:r>
          </w:p>
        </w:tc>
      </w:tr>
      <w:tr w:rsidR="00430812" w:rsidRPr="00670221" w14:paraId="6BC7FD75" w14:textId="582D2BBC" w:rsidTr="00817B74">
        <w:tc>
          <w:tcPr>
            <w:tcW w:w="1701" w:type="dxa"/>
          </w:tcPr>
          <w:p w14:paraId="5A62E91E" w14:textId="61723EDB" w:rsidR="00430812" w:rsidRPr="00670221" w:rsidRDefault="00430812" w:rsidP="005116D7">
            <w:pPr>
              <w:rPr>
                <w:lang w:val="en-US"/>
              </w:rPr>
            </w:pPr>
            <w:r w:rsidRPr="00670221">
              <w:rPr>
                <w:lang w:val="en-US"/>
              </w:rPr>
              <w:t>2</w:t>
            </w:r>
          </w:p>
        </w:tc>
        <w:tc>
          <w:tcPr>
            <w:tcW w:w="1985" w:type="dxa"/>
          </w:tcPr>
          <w:p w14:paraId="1F95FCE1" w14:textId="0E21A2DC" w:rsidR="00430812" w:rsidRPr="00670221" w:rsidRDefault="00430812" w:rsidP="005116D7">
            <w:pPr>
              <w:rPr>
                <w:lang w:val="en-US"/>
              </w:rPr>
            </w:pPr>
            <w:proofErr w:type="spellStart"/>
            <w:r w:rsidRPr="00670221">
              <w:rPr>
                <w:lang w:val="en-US"/>
              </w:rPr>
              <w:t>Sacchi</w:t>
            </w:r>
            <w:proofErr w:type="spellEnd"/>
            <w:r w:rsidRPr="00670221">
              <w:rPr>
                <w:lang w:val="en-US"/>
              </w:rPr>
              <w:t xml:space="preserve"> et al.</w:t>
            </w:r>
          </w:p>
        </w:tc>
        <w:tc>
          <w:tcPr>
            <w:tcW w:w="1701" w:type="dxa"/>
          </w:tcPr>
          <w:p w14:paraId="5812FEDB" w14:textId="0F7BB02F" w:rsidR="00430812" w:rsidRPr="00670221" w:rsidRDefault="00430812" w:rsidP="005116D7">
            <w:pPr>
              <w:rPr>
                <w:lang w:val="en-US"/>
              </w:rPr>
            </w:pPr>
            <w:r w:rsidRPr="00670221">
              <w:rPr>
                <w:lang w:val="en-US"/>
              </w:rPr>
              <w:t>2023</w:t>
            </w:r>
          </w:p>
        </w:tc>
        <w:tc>
          <w:tcPr>
            <w:tcW w:w="3686" w:type="dxa"/>
          </w:tcPr>
          <w:p w14:paraId="7585D6C4" w14:textId="292D41C9" w:rsidR="00430812" w:rsidRPr="00670221" w:rsidRDefault="00430812" w:rsidP="005116D7">
            <w:pPr>
              <w:rPr>
                <w:sz w:val="20"/>
                <w:szCs w:val="20"/>
                <w:lang w:val="en-US"/>
              </w:rPr>
            </w:pPr>
            <w:r w:rsidRPr="00670221">
              <w:rPr>
                <w:sz w:val="20"/>
                <w:szCs w:val="20"/>
                <w:lang w:val="en-US"/>
              </w:rPr>
              <w:t>PEM, DAC CO2, RWGS + FT</w:t>
            </w:r>
          </w:p>
        </w:tc>
      </w:tr>
      <w:tr w:rsidR="00430812" w:rsidRPr="00670221" w14:paraId="46D52E15" w14:textId="09B6AD49" w:rsidTr="00817B74">
        <w:tc>
          <w:tcPr>
            <w:tcW w:w="1701" w:type="dxa"/>
          </w:tcPr>
          <w:p w14:paraId="6DF42676" w14:textId="031DE35F" w:rsidR="00430812" w:rsidRPr="00670221" w:rsidRDefault="00430812" w:rsidP="005116D7">
            <w:pPr>
              <w:rPr>
                <w:lang w:val="en-US"/>
              </w:rPr>
            </w:pPr>
            <w:r w:rsidRPr="00670221">
              <w:rPr>
                <w:lang w:val="en-US"/>
              </w:rPr>
              <w:t>3</w:t>
            </w:r>
          </w:p>
        </w:tc>
        <w:tc>
          <w:tcPr>
            <w:tcW w:w="1985" w:type="dxa"/>
          </w:tcPr>
          <w:p w14:paraId="4A747BA5" w14:textId="3F757965" w:rsidR="00430812" w:rsidRPr="00670221" w:rsidRDefault="00430812" w:rsidP="005116D7">
            <w:pPr>
              <w:rPr>
                <w:lang w:val="en-US"/>
              </w:rPr>
            </w:pPr>
            <w:proofErr w:type="spellStart"/>
            <w:r w:rsidRPr="00670221">
              <w:rPr>
                <w:lang w:val="en-US"/>
              </w:rPr>
              <w:t>Habermeyer</w:t>
            </w:r>
            <w:proofErr w:type="spellEnd"/>
            <w:r w:rsidRPr="00670221">
              <w:rPr>
                <w:lang w:val="en-US"/>
              </w:rPr>
              <w:t xml:space="preserve"> et al.</w:t>
            </w:r>
          </w:p>
        </w:tc>
        <w:tc>
          <w:tcPr>
            <w:tcW w:w="1701" w:type="dxa"/>
          </w:tcPr>
          <w:p w14:paraId="71B84FAA" w14:textId="6F8428BE" w:rsidR="00430812" w:rsidRPr="00670221" w:rsidRDefault="00430812" w:rsidP="005116D7">
            <w:pPr>
              <w:rPr>
                <w:lang w:val="en-US"/>
              </w:rPr>
            </w:pPr>
            <w:r w:rsidRPr="00670221">
              <w:rPr>
                <w:lang w:val="en-US"/>
              </w:rPr>
              <w:t>2023</w:t>
            </w:r>
          </w:p>
        </w:tc>
        <w:tc>
          <w:tcPr>
            <w:tcW w:w="3686" w:type="dxa"/>
          </w:tcPr>
          <w:p w14:paraId="13ABD004" w14:textId="07CDEF6C" w:rsidR="00430812" w:rsidRPr="00670221" w:rsidRDefault="00430812" w:rsidP="005116D7">
            <w:pPr>
              <w:rPr>
                <w:sz w:val="20"/>
                <w:szCs w:val="20"/>
                <w:lang w:val="en-US"/>
              </w:rPr>
            </w:pPr>
            <w:r w:rsidRPr="00670221">
              <w:rPr>
                <w:sz w:val="20"/>
                <w:szCs w:val="20"/>
                <w:lang w:val="en-US"/>
              </w:rPr>
              <w:t>Biomass + additional H2, FT (biogenic e</w:t>
            </w:r>
            <w:r w:rsidR="001C2622">
              <w:rPr>
                <w:sz w:val="20"/>
                <w:szCs w:val="20"/>
                <w:lang w:val="en-US"/>
              </w:rPr>
              <w:t>-</w:t>
            </w:r>
            <w:r w:rsidRPr="00670221">
              <w:rPr>
                <w:sz w:val="20"/>
                <w:szCs w:val="20"/>
                <w:lang w:val="en-US"/>
              </w:rPr>
              <w:t>fuel)</w:t>
            </w:r>
          </w:p>
        </w:tc>
      </w:tr>
      <w:tr w:rsidR="00430812" w:rsidRPr="00670221" w14:paraId="46A19C12" w14:textId="4157D86F" w:rsidTr="00817B74">
        <w:tc>
          <w:tcPr>
            <w:tcW w:w="1701" w:type="dxa"/>
          </w:tcPr>
          <w:p w14:paraId="7B55C919" w14:textId="50C94903" w:rsidR="00430812" w:rsidRPr="00670221" w:rsidRDefault="00430812" w:rsidP="005116D7">
            <w:pPr>
              <w:rPr>
                <w:lang w:val="en-US"/>
              </w:rPr>
            </w:pPr>
            <w:r w:rsidRPr="00670221">
              <w:rPr>
                <w:lang w:val="en-US"/>
              </w:rPr>
              <w:t>4</w:t>
            </w:r>
          </w:p>
        </w:tc>
        <w:tc>
          <w:tcPr>
            <w:tcW w:w="1985" w:type="dxa"/>
          </w:tcPr>
          <w:p w14:paraId="2510AC62" w14:textId="3508B3B7" w:rsidR="00430812" w:rsidRPr="00670221" w:rsidRDefault="00430812" w:rsidP="005116D7">
            <w:pPr>
              <w:rPr>
                <w:lang w:val="en-US"/>
              </w:rPr>
            </w:pPr>
            <w:r w:rsidRPr="00670221">
              <w:rPr>
                <w:lang w:val="en-US"/>
              </w:rPr>
              <w:t>Grimme</w:t>
            </w:r>
          </w:p>
        </w:tc>
        <w:tc>
          <w:tcPr>
            <w:tcW w:w="1701" w:type="dxa"/>
          </w:tcPr>
          <w:p w14:paraId="0BB1FF73" w14:textId="0F14803C" w:rsidR="00430812" w:rsidRPr="00670221" w:rsidRDefault="00430812" w:rsidP="005116D7">
            <w:pPr>
              <w:rPr>
                <w:lang w:val="en-US"/>
              </w:rPr>
            </w:pPr>
            <w:r w:rsidRPr="00670221">
              <w:rPr>
                <w:lang w:val="en-US"/>
              </w:rPr>
              <w:t>2023</w:t>
            </w:r>
          </w:p>
        </w:tc>
        <w:tc>
          <w:tcPr>
            <w:tcW w:w="3686" w:type="dxa"/>
          </w:tcPr>
          <w:p w14:paraId="3BC5B015" w14:textId="227B4BC1" w:rsidR="00430812" w:rsidRPr="00670221" w:rsidRDefault="00430812" w:rsidP="005116D7">
            <w:pPr>
              <w:rPr>
                <w:sz w:val="20"/>
                <w:szCs w:val="20"/>
                <w:lang w:val="en-US"/>
              </w:rPr>
            </w:pPr>
            <w:r w:rsidRPr="00670221">
              <w:rPr>
                <w:sz w:val="20"/>
                <w:szCs w:val="20"/>
                <w:lang w:val="en-US"/>
              </w:rPr>
              <w:t>Biomass gasification + FT, HEFA, ATJ</w:t>
            </w:r>
          </w:p>
        </w:tc>
      </w:tr>
      <w:tr w:rsidR="00430812" w:rsidRPr="00670221" w14:paraId="4FAE15E5" w14:textId="77777777" w:rsidTr="00817B74">
        <w:tc>
          <w:tcPr>
            <w:tcW w:w="1701" w:type="dxa"/>
          </w:tcPr>
          <w:p w14:paraId="379D44A1" w14:textId="66763D90" w:rsidR="00430812" w:rsidRPr="00670221" w:rsidRDefault="00430812" w:rsidP="005116D7">
            <w:pPr>
              <w:rPr>
                <w:lang w:val="en-US"/>
              </w:rPr>
            </w:pPr>
            <w:r w:rsidRPr="00670221">
              <w:rPr>
                <w:lang w:val="en-US"/>
              </w:rPr>
              <w:t>5</w:t>
            </w:r>
          </w:p>
        </w:tc>
        <w:tc>
          <w:tcPr>
            <w:tcW w:w="1985" w:type="dxa"/>
          </w:tcPr>
          <w:p w14:paraId="275E9D8C" w14:textId="0AE23B01" w:rsidR="00430812" w:rsidRPr="00670221" w:rsidRDefault="00430812" w:rsidP="006F30EB">
            <w:pPr>
              <w:jc w:val="left"/>
              <w:rPr>
                <w:lang w:val="en-US"/>
              </w:rPr>
            </w:pPr>
            <w:proofErr w:type="spellStart"/>
            <w:r w:rsidRPr="00670221">
              <w:rPr>
                <w:lang w:val="en-US"/>
              </w:rPr>
              <w:t>Ordóñez</w:t>
            </w:r>
            <w:proofErr w:type="spellEnd"/>
            <w:r w:rsidRPr="00670221">
              <w:rPr>
                <w:lang w:val="en-US"/>
              </w:rPr>
              <w:t xml:space="preserve"> et al.</w:t>
            </w:r>
          </w:p>
        </w:tc>
        <w:tc>
          <w:tcPr>
            <w:tcW w:w="1701" w:type="dxa"/>
          </w:tcPr>
          <w:p w14:paraId="73CEBB27" w14:textId="6E3466A7" w:rsidR="00430812" w:rsidRPr="00670221" w:rsidRDefault="00430812" w:rsidP="005116D7">
            <w:pPr>
              <w:rPr>
                <w:lang w:val="en-US"/>
              </w:rPr>
            </w:pPr>
            <w:r w:rsidRPr="00670221">
              <w:rPr>
                <w:lang w:val="en-US"/>
              </w:rPr>
              <w:t>2022</w:t>
            </w:r>
          </w:p>
        </w:tc>
        <w:tc>
          <w:tcPr>
            <w:tcW w:w="3686" w:type="dxa"/>
          </w:tcPr>
          <w:p w14:paraId="5CEEC951" w14:textId="6BE4914F" w:rsidR="00430812" w:rsidRPr="00670221" w:rsidRDefault="00430812" w:rsidP="005116D7">
            <w:pPr>
              <w:rPr>
                <w:sz w:val="20"/>
                <w:szCs w:val="20"/>
                <w:lang w:val="en-US"/>
              </w:rPr>
            </w:pPr>
            <w:r w:rsidRPr="00670221">
              <w:rPr>
                <w:sz w:val="20"/>
                <w:szCs w:val="20"/>
                <w:lang w:val="en-US"/>
              </w:rPr>
              <w:t>Solar + wind, PEMEL, fossil PSC and DAC, RWGS + FT</w:t>
            </w:r>
          </w:p>
        </w:tc>
      </w:tr>
      <w:tr w:rsidR="00430812" w:rsidRPr="00670221" w14:paraId="3103121B" w14:textId="2A00F4DD" w:rsidTr="00817B74">
        <w:tc>
          <w:tcPr>
            <w:tcW w:w="1701" w:type="dxa"/>
          </w:tcPr>
          <w:p w14:paraId="40ED2858" w14:textId="594DC536" w:rsidR="00430812" w:rsidRPr="00670221" w:rsidRDefault="00430812" w:rsidP="005116D7">
            <w:pPr>
              <w:rPr>
                <w:lang w:val="en-US"/>
              </w:rPr>
            </w:pPr>
            <w:r w:rsidRPr="00670221">
              <w:rPr>
                <w:lang w:val="en-US"/>
              </w:rPr>
              <w:t>6</w:t>
            </w:r>
          </w:p>
        </w:tc>
        <w:tc>
          <w:tcPr>
            <w:tcW w:w="1985" w:type="dxa"/>
          </w:tcPr>
          <w:p w14:paraId="65318E95" w14:textId="503E28E4" w:rsidR="00430812" w:rsidRPr="00670221" w:rsidRDefault="00430812" w:rsidP="005116D7">
            <w:pPr>
              <w:rPr>
                <w:lang w:val="en-US"/>
              </w:rPr>
            </w:pPr>
            <w:proofErr w:type="spellStart"/>
            <w:r w:rsidRPr="00670221">
              <w:rPr>
                <w:lang w:val="en-US"/>
              </w:rPr>
              <w:t>Ruokonen</w:t>
            </w:r>
            <w:proofErr w:type="spellEnd"/>
            <w:r w:rsidRPr="00670221">
              <w:rPr>
                <w:lang w:val="en-US"/>
              </w:rPr>
              <w:t xml:space="preserve"> et al.</w:t>
            </w:r>
          </w:p>
        </w:tc>
        <w:tc>
          <w:tcPr>
            <w:tcW w:w="1701" w:type="dxa"/>
          </w:tcPr>
          <w:p w14:paraId="3937E96F" w14:textId="33F718F9" w:rsidR="00430812" w:rsidRPr="00670221" w:rsidRDefault="00430812" w:rsidP="005116D7">
            <w:pPr>
              <w:rPr>
                <w:lang w:val="en-US"/>
              </w:rPr>
            </w:pPr>
            <w:r w:rsidRPr="00670221">
              <w:rPr>
                <w:lang w:val="en-US"/>
              </w:rPr>
              <w:t>2021</w:t>
            </w:r>
          </w:p>
        </w:tc>
        <w:tc>
          <w:tcPr>
            <w:tcW w:w="3686" w:type="dxa"/>
          </w:tcPr>
          <w:p w14:paraId="50A6378B" w14:textId="0E86E376" w:rsidR="00430812" w:rsidRPr="00670221" w:rsidRDefault="00430812" w:rsidP="005116D7">
            <w:pPr>
              <w:rPr>
                <w:sz w:val="20"/>
                <w:szCs w:val="20"/>
                <w:lang w:val="en-US"/>
              </w:rPr>
            </w:pPr>
            <w:r w:rsidRPr="00670221">
              <w:rPr>
                <w:sz w:val="20"/>
                <w:szCs w:val="20"/>
                <w:lang w:val="en-US"/>
              </w:rPr>
              <w:t>Green methanol to jet-fuel</w:t>
            </w:r>
          </w:p>
        </w:tc>
      </w:tr>
      <w:tr w:rsidR="00430812" w:rsidRPr="00670221" w14:paraId="61A7A279" w14:textId="6658CD9F" w:rsidTr="00817B74">
        <w:tc>
          <w:tcPr>
            <w:tcW w:w="1701" w:type="dxa"/>
          </w:tcPr>
          <w:p w14:paraId="65DDF8B1" w14:textId="11C9CB20" w:rsidR="00430812" w:rsidRPr="00670221" w:rsidRDefault="00430812" w:rsidP="005116D7">
            <w:pPr>
              <w:rPr>
                <w:lang w:val="en-US"/>
              </w:rPr>
            </w:pPr>
            <w:r w:rsidRPr="00670221">
              <w:rPr>
                <w:lang w:val="en-US"/>
              </w:rPr>
              <w:t>7*</w:t>
            </w:r>
          </w:p>
        </w:tc>
        <w:tc>
          <w:tcPr>
            <w:tcW w:w="1985" w:type="dxa"/>
          </w:tcPr>
          <w:p w14:paraId="0F9A864E" w14:textId="1DD57FF6" w:rsidR="00430812" w:rsidRPr="00670221" w:rsidRDefault="00430812" w:rsidP="005116D7">
            <w:pPr>
              <w:rPr>
                <w:lang w:val="en-US"/>
              </w:rPr>
            </w:pPr>
            <w:r w:rsidRPr="00670221">
              <w:rPr>
                <w:lang w:val="en-US"/>
              </w:rPr>
              <w:t>Grahn et al.</w:t>
            </w:r>
          </w:p>
        </w:tc>
        <w:tc>
          <w:tcPr>
            <w:tcW w:w="1701" w:type="dxa"/>
          </w:tcPr>
          <w:p w14:paraId="361F164F" w14:textId="2733D1A3" w:rsidR="00430812" w:rsidRPr="00670221" w:rsidRDefault="00430812" w:rsidP="005116D7">
            <w:pPr>
              <w:rPr>
                <w:lang w:val="en-US"/>
              </w:rPr>
            </w:pPr>
            <w:r w:rsidRPr="00670221">
              <w:rPr>
                <w:lang w:val="en-US"/>
              </w:rPr>
              <w:t>2022</w:t>
            </w:r>
          </w:p>
        </w:tc>
        <w:tc>
          <w:tcPr>
            <w:tcW w:w="3686" w:type="dxa"/>
          </w:tcPr>
          <w:p w14:paraId="206F5842" w14:textId="772E599E" w:rsidR="00430812" w:rsidRPr="00670221" w:rsidRDefault="00430812" w:rsidP="005116D7">
            <w:pPr>
              <w:rPr>
                <w:sz w:val="20"/>
                <w:szCs w:val="20"/>
                <w:lang w:val="en-US"/>
              </w:rPr>
            </w:pPr>
            <w:r w:rsidRPr="00670221">
              <w:rPr>
                <w:sz w:val="20"/>
                <w:szCs w:val="20"/>
                <w:lang w:val="en-US"/>
              </w:rPr>
              <w:t>Overview</w:t>
            </w:r>
          </w:p>
        </w:tc>
      </w:tr>
      <w:tr w:rsidR="00430812" w:rsidRPr="00670221" w14:paraId="2C8BE0F5" w14:textId="6A99AF72" w:rsidTr="00817B74">
        <w:tc>
          <w:tcPr>
            <w:tcW w:w="1701" w:type="dxa"/>
          </w:tcPr>
          <w:p w14:paraId="7710EAA0" w14:textId="73471E13" w:rsidR="00430812" w:rsidRPr="00670221" w:rsidRDefault="00430812" w:rsidP="005116D7">
            <w:pPr>
              <w:rPr>
                <w:lang w:val="en-US"/>
              </w:rPr>
            </w:pPr>
            <w:r w:rsidRPr="00670221">
              <w:rPr>
                <w:lang w:val="en-US"/>
              </w:rPr>
              <w:t>8*</w:t>
            </w:r>
          </w:p>
        </w:tc>
        <w:tc>
          <w:tcPr>
            <w:tcW w:w="1985" w:type="dxa"/>
          </w:tcPr>
          <w:p w14:paraId="5F05E0D4" w14:textId="6828E3B7" w:rsidR="00430812" w:rsidRPr="00670221" w:rsidRDefault="00430812" w:rsidP="005116D7">
            <w:pPr>
              <w:rPr>
                <w:lang w:val="en-US"/>
              </w:rPr>
            </w:pPr>
            <w:r w:rsidRPr="00670221">
              <w:rPr>
                <w:lang w:val="en-US"/>
              </w:rPr>
              <w:t xml:space="preserve">Seymour et al. </w:t>
            </w:r>
          </w:p>
        </w:tc>
        <w:tc>
          <w:tcPr>
            <w:tcW w:w="1701" w:type="dxa"/>
          </w:tcPr>
          <w:p w14:paraId="7F8F03A6" w14:textId="4856DE62" w:rsidR="00430812" w:rsidRPr="00670221" w:rsidRDefault="00430812" w:rsidP="005116D7">
            <w:pPr>
              <w:rPr>
                <w:lang w:val="en-US"/>
              </w:rPr>
            </w:pPr>
            <w:r w:rsidRPr="00670221">
              <w:rPr>
                <w:lang w:val="en-US"/>
              </w:rPr>
              <w:t>2023</w:t>
            </w:r>
          </w:p>
        </w:tc>
        <w:tc>
          <w:tcPr>
            <w:tcW w:w="3686" w:type="dxa"/>
          </w:tcPr>
          <w:p w14:paraId="10256F73" w14:textId="1A35B7BC" w:rsidR="00430812" w:rsidRPr="00670221" w:rsidRDefault="00430812" w:rsidP="005116D7">
            <w:pPr>
              <w:rPr>
                <w:sz w:val="20"/>
                <w:szCs w:val="20"/>
                <w:lang w:val="en-US"/>
              </w:rPr>
            </w:pPr>
            <w:r w:rsidRPr="00670221">
              <w:rPr>
                <w:sz w:val="20"/>
                <w:szCs w:val="20"/>
                <w:lang w:val="en-US"/>
              </w:rPr>
              <w:t>Solar + wind, PEMEL, DAC CO2, RWGS + FT</w:t>
            </w:r>
          </w:p>
        </w:tc>
      </w:tr>
      <w:tr w:rsidR="00430812" w:rsidRPr="00670221" w14:paraId="655173C3" w14:textId="073152F7" w:rsidTr="00817B74">
        <w:tc>
          <w:tcPr>
            <w:tcW w:w="1701" w:type="dxa"/>
          </w:tcPr>
          <w:p w14:paraId="0D41CED4" w14:textId="7DB2405A" w:rsidR="00430812" w:rsidRPr="00670221" w:rsidRDefault="00430812" w:rsidP="005116D7">
            <w:pPr>
              <w:rPr>
                <w:lang w:val="en-US"/>
              </w:rPr>
            </w:pPr>
            <w:r w:rsidRPr="00670221">
              <w:rPr>
                <w:lang w:val="en-US"/>
              </w:rPr>
              <w:t>9*</w:t>
            </w:r>
          </w:p>
        </w:tc>
        <w:tc>
          <w:tcPr>
            <w:tcW w:w="1985" w:type="dxa"/>
          </w:tcPr>
          <w:p w14:paraId="30A85ADB" w14:textId="0110C286" w:rsidR="00430812" w:rsidRPr="00670221" w:rsidRDefault="00430812" w:rsidP="005116D7">
            <w:pPr>
              <w:rPr>
                <w:lang w:val="en-US"/>
              </w:rPr>
            </w:pPr>
            <w:r w:rsidRPr="00670221">
              <w:rPr>
                <w:lang w:val="en-US"/>
              </w:rPr>
              <w:t>Peacock et al.</w:t>
            </w:r>
          </w:p>
        </w:tc>
        <w:tc>
          <w:tcPr>
            <w:tcW w:w="1701" w:type="dxa"/>
          </w:tcPr>
          <w:p w14:paraId="45B2541B" w14:textId="4528000F" w:rsidR="00430812" w:rsidRPr="00670221" w:rsidRDefault="00430812" w:rsidP="005116D7">
            <w:pPr>
              <w:rPr>
                <w:lang w:val="en-US"/>
              </w:rPr>
            </w:pPr>
            <w:r w:rsidRPr="00670221">
              <w:rPr>
                <w:lang w:val="en-US"/>
              </w:rPr>
              <w:t>2024</w:t>
            </w:r>
          </w:p>
        </w:tc>
        <w:tc>
          <w:tcPr>
            <w:tcW w:w="3686" w:type="dxa"/>
          </w:tcPr>
          <w:p w14:paraId="7CF32C15" w14:textId="043BA055" w:rsidR="00430812" w:rsidRPr="00670221" w:rsidRDefault="00430812" w:rsidP="005116D7">
            <w:pPr>
              <w:rPr>
                <w:sz w:val="20"/>
                <w:szCs w:val="20"/>
                <w:lang w:val="en-US"/>
              </w:rPr>
            </w:pPr>
            <w:r w:rsidRPr="00670221">
              <w:rPr>
                <w:sz w:val="20"/>
                <w:szCs w:val="20"/>
                <w:lang w:val="en-US"/>
              </w:rPr>
              <w:t>Nuclear, renewables, SOE, PEM, DAC, RWGS + FT, HEFA, gas/FT, ATJ</w:t>
            </w:r>
          </w:p>
        </w:tc>
      </w:tr>
      <w:tr w:rsidR="00430812" w:rsidRPr="00670221" w14:paraId="2FDEF780" w14:textId="17EF280E" w:rsidTr="00817B74">
        <w:tc>
          <w:tcPr>
            <w:tcW w:w="1701" w:type="dxa"/>
          </w:tcPr>
          <w:p w14:paraId="00D2E586" w14:textId="6A42AE21" w:rsidR="00430812" w:rsidRPr="00670221" w:rsidRDefault="00430812" w:rsidP="005116D7">
            <w:pPr>
              <w:rPr>
                <w:lang w:val="en-US"/>
              </w:rPr>
            </w:pPr>
            <w:r w:rsidRPr="00670221">
              <w:rPr>
                <w:lang w:val="en-US"/>
              </w:rPr>
              <w:t>10*</w:t>
            </w:r>
          </w:p>
        </w:tc>
        <w:tc>
          <w:tcPr>
            <w:tcW w:w="1985" w:type="dxa"/>
          </w:tcPr>
          <w:p w14:paraId="35BBE573" w14:textId="2663C772" w:rsidR="00430812" w:rsidRPr="00670221" w:rsidRDefault="00430812" w:rsidP="005116D7">
            <w:pPr>
              <w:rPr>
                <w:lang w:val="en-US"/>
              </w:rPr>
            </w:pPr>
            <w:r w:rsidRPr="00670221">
              <w:rPr>
                <w:lang w:val="en-US"/>
              </w:rPr>
              <w:t>Hoglund et al.</w:t>
            </w:r>
          </w:p>
        </w:tc>
        <w:tc>
          <w:tcPr>
            <w:tcW w:w="1701" w:type="dxa"/>
          </w:tcPr>
          <w:p w14:paraId="045E4739" w14:textId="2A4028FD" w:rsidR="00430812" w:rsidRPr="00670221" w:rsidRDefault="00430812" w:rsidP="005116D7">
            <w:pPr>
              <w:rPr>
                <w:lang w:val="en-US"/>
              </w:rPr>
            </w:pPr>
            <w:r w:rsidRPr="00670221">
              <w:rPr>
                <w:lang w:val="en-US"/>
              </w:rPr>
              <w:t>2024</w:t>
            </w:r>
          </w:p>
        </w:tc>
        <w:tc>
          <w:tcPr>
            <w:tcW w:w="3686" w:type="dxa"/>
          </w:tcPr>
          <w:p w14:paraId="10944D98" w14:textId="6742F89E" w:rsidR="00430812" w:rsidRPr="00670221" w:rsidRDefault="00430812" w:rsidP="005116D7">
            <w:pPr>
              <w:rPr>
                <w:sz w:val="20"/>
                <w:szCs w:val="20"/>
                <w:lang w:val="en-US"/>
              </w:rPr>
            </w:pPr>
            <w:r w:rsidRPr="00670221">
              <w:rPr>
                <w:sz w:val="20"/>
                <w:szCs w:val="20"/>
                <w:lang w:val="en-US"/>
              </w:rPr>
              <w:t xml:space="preserve">PEMEL, PSC and DAC, RWGS + FT, HEFA, gasification, </w:t>
            </w:r>
            <w:proofErr w:type="spellStart"/>
            <w:r w:rsidRPr="00670221">
              <w:rPr>
                <w:sz w:val="20"/>
                <w:szCs w:val="20"/>
                <w:lang w:val="en-US"/>
              </w:rPr>
              <w:t>AtJ</w:t>
            </w:r>
            <w:proofErr w:type="spellEnd"/>
          </w:p>
        </w:tc>
      </w:tr>
    </w:tbl>
    <w:p w14:paraId="4AEE9C34" w14:textId="26A3F779" w:rsidR="00ED3CD5" w:rsidRPr="00670221" w:rsidRDefault="00ED3CD5">
      <w:pPr>
        <w:spacing w:before="0" w:after="0"/>
        <w:jc w:val="left"/>
        <w:rPr>
          <w:b/>
          <w:bCs/>
          <w:lang w:val="en-US"/>
        </w:rPr>
      </w:pPr>
    </w:p>
    <w:p w14:paraId="55402D56" w14:textId="37339733"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b/>
          <w:bCs/>
          <w:kern w:val="0"/>
          <w:lang w:val="en-US"/>
        </w:rPr>
        <w:lastRenderedPageBreak/>
        <w:t>Appendix E:</w:t>
      </w:r>
      <w:r w:rsidRPr="00670221">
        <w:rPr>
          <w:rFonts w:cstheme="minorHAnsi"/>
          <w:kern w:val="0"/>
          <w:lang w:val="en-US"/>
        </w:rPr>
        <w:t xml:space="preserve"> Webinar: Navigating decarbonization in aviation with carbon removal solutions 13/06/2024</w:t>
      </w:r>
    </w:p>
    <w:p w14:paraId="1A182BBD"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 xml:space="preserve">Speakers: Melanie </w:t>
      </w:r>
      <w:proofErr w:type="spellStart"/>
      <w:r w:rsidRPr="00670221">
        <w:rPr>
          <w:rFonts w:cstheme="minorHAnsi"/>
          <w:kern w:val="0"/>
          <w:lang w:val="en-US"/>
        </w:rPr>
        <w:t>Heiniger</w:t>
      </w:r>
      <w:proofErr w:type="spellEnd"/>
      <w:r w:rsidRPr="00670221">
        <w:rPr>
          <w:rFonts w:cstheme="minorHAnsi"/>
          <w:kern w:val="0"/>
          <w:lang w:val="en-US"/>
        </w:rPr>
        <w:t xml:space="preserve"> (Swiss Airlines), Hemant Mistry (IATA), Cyril Brunner (ETH </w:t>
      </w:r>
      <w:proofErr w:type="spellStart"/>
      <w:r w:rsidRPr="00670221">
        <w:rPr>
          <w:rFonts w:cstheme="minorHAnsi"/>
          <w:kern w:val="0"/>
          <w:lang w:val="en-US"/>
        </w:rPr>
        <w:t>zurich</w:t>
      </w:r>
      <w:proofErr w:type="spellEnd"/>
      <w:r w:rsidRPr="00670221">
        <w:rPr>
          <w:rFonts w:cstheme="minorHAnsi"/>
          <w:kern w:val="0"/>
          <w:lang w:val="en-US"/>
        </w:rPr>
        <w:t xml:space="preserve">) and </w:t>
      </w:r>
      <w:proofErr w:type="spellStart"/>
      <w:r w:rsidRPr="00670221">
        <w:rPr>
          <w:rFonts w:cstheme="minorHAnsi"/>
          <w:kern w:val="0"/>
          <w:lang w:val="en-US"/>
        </w:rPr>
        <w:t>Climeworks</w:t>
      </w:r>
      <w:proofErr w:type="spellEnd"/>
    </w:p>
    <w:p w14:paraId="2C52AFED" w14:textId="77777777" w:rsidR="00ED3CD5" w:rsidRPr="00670221" w:rsidRDefault="00ED3CD5" w:rsidP="00ED3CD5">
      <w:pPr>
        <w:autoSpaceDE w:val="0"/>
        <w:autoSpaceDN w:val="0"/>
        <w:adjustRightInd w:val="0"/>
        <w:spacing w:before="0" w:after="0"/>
        <w:jc w:val="left"/>
        <w:rPr>
          <w:rFonts w:cstheme="minorHAnsi"/>
          <w:kern w:val="0"/>
          <w:lang w:val="en-US"/>
        </w:rPr>
      </w:pPr>
    </w:p>
    <w:p w14:paraId="7B33EEC3" w14:textId="66F6451D"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b/>
          <w:bCs/>
          <w:kern w:val="0"/>
          <w:lang w:val="en-US"/>
        </w:rPr>
        <w:t>Summary</w:t>
      </w:r>
      <w:r w:rsidRPr="00670221">
        <w:rPr>
          <w:rFonts w:cstheme="minorHAnsi"/>
          <w:kern w:val="0"/>
          <w:lang w:val="en-US"/>
        </w:rPr>
        <w:t xml:space="preserve">: 800 million tons of DAC CO2 needed for the aviation industry according to IATA. Largest issue is scaling this technology in time to meet set targets. The continued use of fossil fuel and </w:t>
      </w:r>
      <w:r w:rsidR="00942AC5" w:rsidRPr="00670221">
        <w:rPr>
          <w:rFonts w:cstheme="minorHAnsi"/>
          <w:kern w:val="0"/>
          <w:lang w:val="en-US"/>
        </w:rPr>
        <w:t>offsetting</w:t>
      </w:r>
      <w:r w:rsidRPr="00670221">
        <w:rPr>
          <w:rFonts w:cstheme="minorHAnsi"/>
          <w:kern w:val="0"/>
          <w:lang w:val="en-US"/>
        </w:rPr>
        <w:t xml:space="preserve"> this with CDR is the cheaper option, but representatives of the industry agree this is no</w:t>
      </w:r>
      <w:r w:rsidR="00942AC5" w:rsidRPr="00670221">
        <w:rPr>
          <w:rFonts w:cstheme="minorHAnsi"/>
          <w:kern w:val="0"/>
          <w:lang w:val="en-US"/>
        </w:rPr>
        <w:t>t</w:t>
      </w:r>
      <w:r w:rsidRPr="00670221">
        <w:rPr>
          <w:rFonts w:cstheme="minorHAnsi"/>
          <w:kern w:val="0"/>
          <w:lang w:val="en-US"/>
        </w:rPr>
        <w:t xml:space="preserve"> the way forward as it postpones needed tech cost down and improvements. In the </w:t>
      </w:r>
      <w:proofErr w:type="spellStart"/>
      <w:r w:rsidRPr="00670221">
        <w:rPr>
          <w:rFonts w:cstheme="minorHAnsi"/>
          <w:kern w:val="0"/>
          <w:lang w:val="en-US"/>
        </w:rPr>
        <w:t>regulational</w:t>
      </w:r>
      <w:proofErr w:type="spellEnd"/>
      <w:r w:rsidRPr="00670221">
        <w:rPr>
          <w:rFonts w:cstheme="minorHAnsi"/>
          <w:kern w:val="0"/>
          <w:lang w:val="en-US"/>
        </w:rPr>
        <w:t xml:space="preserve"> space, there are some developments taking place that strengthen the position of </w:t>
      </w:r>
      <w:proofErr w:type="spellStart"/>
      <w:r w:rsidRPr="00670221">
        <w:rPr>
          <w:rFonts w:cstheme="minorHAnsi"/>
          <w:kern w:val="0"/>
          <w:lang w:val="en-US"/>
        </w:rPr>
        <w:t>PtL</w:t>
      </w:r>
      <w:proofErr w:type="spellEnd"/>
      <w:r w:rsidRPr="00670221">
        <w:rPr>
          <w:rFonts w:cstheme="minorHAnsi"/>
          <w:kern w:val="0"/>
          <w:lang w:val="en-US"/>
        </w:rPr>
        <w:t xml:space="preserve">, and thus DAC. The Aviation Reduction Act is something we should </w:t>
      </w:r>
      <w:proofErr w:type="gramStart"/>
      <w:r w:rsidRPr="00670221">
        <w:rPr>
          <w:rFonts w:cstheme="minorHAnsi"/>
          <w:kern w:val="0"/>
          <w:lang w:val="en-US"/>
        </w:rPr>
        <w:t>look into</w:t>
      </w:r>
      <w:proofErr w:type="gramEnd"/>
      <w:r w:rsidRPr="00670221">
        <w:rPr>
          <w:rFonts w:cstheme="minorHAnsi"/>
          <w:kern w:val="0"/>
          <w:lang w:val="en-US"/>
        </w:rPr>
        <w:t xml:space="preserve"> as well.</w:t>
      </w:r>
    </w:p>
    <w:p w14:paraId="125B9C9D" w14:textId="77777777" w:rsidR="00ED3CD5" w:rsidRPr="00670221" w:rsidRDefault="00ED3CD5" w:rsidP="00ED3CD5">
      <w:pPr>
        <w:autoSpaceDE w:val="0"/>
        <w:autoSpaceDN w:val="0"/>
        <w:adjustRightInd w:val="0"/>
        <w:spacing w:before="0" w:after="0"/>
        <w:jc w:val="left"/>
        <w:rPr>
          <w:rFonts w:cstheme="minorHAnsi"/>
          <w:kern w:val="0"/>
          <w:lang w:val="en-US"/>
        </w:rPr>
      </w:pPr>
    </w:p>
    <w:p w14:paraId="5F93EA8E" w14:textId="77171354" w:rsidR="00ED3CD5" w:rsidRPr="00670221" w:rsidRDefault="00ED3CD5" w:rsidP="00ED3CD5">
      <w:pPr>
        <w:autoSpaceDE w:val="0"/>
        <w:autoSpaceDN w:val="0"/>
        <w:adjustRightInd w:val="0"/>
        <w:spacing w:before="0" w:after="0"/>
        <w:jc w:val="left"/>
        <w:rPr>
          <w:rFonts w:cstheme="minorHAnsi"/>
          <w:kern w:val="0"/>
          <w:lang w:val="en-US"/>
        </w:rPr>
      </w:pPr>
      <w:r w:rsidRPr="00670221">
        <w:rPr>
          <w:rFonts w:ascii="Open Sans" w:hAnsi="Open Sans" w:cs="Open Sans"/>
          <w:color w:val="000000"/>
          <w:sz w:val="22"/>
          <w:szCs w:val="22"/>
          <w:bdr w:val="none" w:sz="0" w:space="0" w:color="auto" w:frame="1"/>
          <w:lang w:val="en-US"/>
        </w:rPr>
        <w:fldChar w:fldCharType="begin"/>
      </w:r>
      <w:r w:rsidRPr="00670221">
        <w:rPr>
          <w:rFonts w:ascii="Open Sans" w:hAnsi="Open Sans" w:cs="Open Sans"/>
          <w:color w:val="000000"/>
          <w:sz w:val="22"/>
          <w:szCs w:val="22"/>
          <w:bdr w:val="none" w:sz="0" w:space="0" w:color="auto" w:frame="1"/>
          <w:lang w:val="en-US"/>
        </w:rPr>
        <w:instrText xml:space="preserve"> INCLUDEPICTURE "https://lh7-qw.googleusercontent.com/docsz/AD_4nXcUN29JkzXCxIUJ-TRFFYkhoVQtxw1vXgLVmecH7Rq5BtSwd85lwp0Kr5iQKkoVcx7wlrJcEekg2ElEmAE8pNNq8iZRoDxIlkfOsTb8NVgjQ9F5kb-qxY6Lo_4P31ple5Rr13odTl25XePIpSKbACead8_7?key=nognvAQonXwp9p-BDGrDBQ" \* MERGEFORMATINET </w:instrText>
      </w:r>
      <w:r w:rsidRPr="00670221">
        <w:rPr>
          <w:rFonts w:ascii="Open Sans" w:hAnsi="Open Sans" w:cs="Open Sans"/>
          <w:color w:val="000000"/>
          <w:sz w:val="22"/>
          <w:szCs w:val="22"/>
          <w:bdr w:val="none" w:sz="0" w:space="0" w:color="auto" w:frame="1"/>
          <w:lang w:val="en-US"/>
        </w:rPr>
        <w:fldChar w:fldCharType="separate"/>
      </w:r>
      <w:r w:rsidRPr="00670221">
        <w:rPr>
          <w:rFonts w:ascii="Open Sans" w:hAnsi="Open Sans" w:cs="Open Sans"/>
          <w:noProof/>
          <w:color w:val="000000"/>
          <w:sz w:val="22"/>
          <w:szCs w:val="22"/>
          <w:bdr w:val="none" w:sz="0" w:space="0" w:color="auto" w:frame="1"/>
          <w:lang w:val="en-US"/>
        </w:rPr>
        <w:drawing>
          <wp:inline distT="0" distB="0" distL="0" distR="0" wp14:anchorId="5FAF29EB" wp14:editId="4B4D6571">
            <wp:extent cx="5731510" cy="2959735"/>
            <wp:effectExtent l="0" t="0" r="0" b="0"/>
            <wp:docPr id="1864343184" name="Picture 23" descr="A graph and a chart with contrail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43184" name="Picture 23" descr="A graph and a chart with contrails in the sky&#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1510" cy="2959735"/>
                    </a:xfrm>
                    <a:prstGeom prst="rect">
                      <a:avLst/>
                    </a:prstGeom>
                    <a:noFill/>
                    <a:ln>
                      <a:noFill/>
                    </a:ln>
                  </pic:spPr>
                </pic:pic>
              </a:graphicData>
            </a:graphic>
          </wp:inline>
        </w:drawing>
      </w:r>
      <w:r w:rsidRPr="00670221">
        <w:rPr>
          <w:rFonts w:ascii="Open Sans" w:hAnsi="Open Sans" w:cs="Open Sans"/>
          <w:color w:val="000000"/>
          <w:sz w:val="22"/>
          <w:szCs w:val="22"/>
          <w:bdr w:val="none" w:sz="0" w:space="0" w:color="auto" w:frame="1"/>
          <w:lang w:val="en-US"/>
        </w:rPr>
        <w:fldChar w:fldCharType="end"/>
      </w:r>
    </w:p>
    <w:p w14:paraId="489A3A47" w14:textId="77777777" w:rsidR="00ED3CD5" w:rsidRPr="00670221" w:rsidRDefault="00ED3CD5" w:rsidP="00ED3CD5">
      <w:pPr>
        <w:autoSpaceDE w:val="0"/>
        <w:autoSpaceDN w:val="0"/>
        <w:adjustRightInd w:val="0"/>
        <w:spacing w:before="0" w:after="0"/>
        <w:jc w:val="left"/>
        <w:rPr>
          <w:rFonts w:cstheme="minorHAnsi"/>
          <w:kern w:val="0"/>
          <w:lang w:val="en-US"/>
        </w:rPr>
      </w:pPr>
    </w:p>
    <w:p w14:paraId="5FBA96D3" w14:textId="77777777" w:rsidR="00ED3CD5" w:rsidRPr="00670221" w:rsidRDefault="00ED3CD5" w:rsidP="00100D5D">
      <w:pPr>
        <w:numPr>
          <w:ilvl w:val="0"/>
          <w:numId w:val="20"/>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CO2 is responsible for 2% of CO2, but aviation is responsible for 4% of global warming, with only a third being attributed to CO2 emissions</w:t>
      </w:r>
    </w:p>
    <w:p w14:paraId="1438FF1C" w14:textId="11B217EC" w:rsidR="00ED3CD5" w:rsidRPr="00670221" w:rsidRDefault="00ED3CD5" w:rsidP="00100D5D">
      <w:pPr>
        <w:numPr>
          <w:ilvl w:val="0"/>
          <w:numId w:val="21"/>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Largest challenge is long distance flight: only possible with SAF 2.0 (synthetic aviation fuels, e</w:t>
      </w:r>
      <w:r w:rsidR="001C2622">
        <w:rPr>
          <w:rFonts w:cstheme="minorHAnsi"/>
          <w:kern w:val="0"/>
          <w:lang w:val="en-US"/>
        </w:rPr>
        <w:t>-</w:t>
      </w:r>
      <w:r w:rsidRPr="00670221">
        <w:rPr>
          <w:rFonts w:cstheme="minorHAnsi"/>
          <w:kern w:val="0"/>
          <w:lang w:val="en-US"/>
        </w:rPr>
        <w:t>fuels) with carbon dioxide removal (SAF 1.0 = biofuels)</w:t>
      </w:r>
    </w:p>
    <w:p w14:paraId="699FA292" w14:textId="77777777" w:rsidR="00ED3CD5" w:rsidRPr="00670221" w:rsidRDefault="00ED3CD5" w:rsidP="00ED3CD5">
      <w:pPr>
        <w:autoSpaceDE w:val="0"/>
        <w:autoSpaceDN w:val="0"/>
        <w:adjustRightInd w:val="0"/>
        <w:spacing w:before="0" w:after="0"/>
        <w:jc w:val="left"/>
        <w:rPr>
          <w:rFonts w:cstheme="minorHAnsi"/>
          <w:kern w:val="0"/>
          <w:lang w:val="en-US"/>
        </w:rPr>
      </w:pPr>
    </w:p>
    <w:p w14:paraId="2C2CAD3B"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IATA net zero by 2050 roadmap</w:t>
      </w:r>
    </w:p>
    <w:p w14:paraId="48FE8361" w14:textId="77777777" w:rsidR="00ED3CD5" w:rsidRPr="00670221" w:rsidRDefault="00ED3CD5" w:rsidP="00100D5D">
      <w:pPr>
        <w:numPr>
          <w:ilvl w:val="0"/>
          <w:numId w:val="22"/>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 xml:space="preserve">500 million tons by 2050 needed for carbon removal: excluding DAC capacities for </w:t>
      </w:r>
      <w:proofErr w:type="spellStart"/>
      <w:r w:rsidRPr="00670221">
        <w:rPr>
          <w:rFonts w:cstheme="minorHAnsi"/>
          <w:kern w:val="0"/>
          <w:lang w:val="en-US"/>
        </w:rPr>
        <w:t>PtL</w:t>
      </w:r>
      <w:proofErr w:type="spellEnd"/>
    </w:p>
    <w:p w14:paraId="6702FCFF" w14:textId="77777777" w:rsidR="00ED3CD5" w:rsidRPr="00670221" w:rsidRDefault="00ED3CD5" w:rsidP="00100D5D">
      <w:pPr>
        <w:numPr>
          <w:ilvl w:val="0"/>
          <w:numId w:val="23"/>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 xml:space="preserve">Additional 200 million ton needed for </w:t>
      </w:r>
      <w:proofErr w:type="spellStart"/>
      <w:r w:rsidRPr="00670221">
        <w:rPr>
          <w:rFonts w:cstheme="minorHAnsi"/>
          <w:kern w:val="0"/>
          <w:lang w:val="en-US"/>
        </w:rPr>
        <w:t>PtL</w:t>
      </w:r>
      <w:proofErr w:type="spellEnd"/>
      <w:r w:rsidRPr="00670221">
        <w:rPr>
          <w:rFonts w:cstheme="minorHAnsi"/>
          <w:kern w:val="0"/>
          <w:lang w:val="en-US"/>
        </w:rPr>
        <w:t>, in line with other reports mentioning total of 800 million tons for aviation</w:t>
      </w:r>
    </w:p>
    <w:p w14:paraId="78B0BDE4" w14:textId="77777777" w:rsidR="00ED3CD5" w:rsidRPr="00670221" w:rsidRDefault="00ED3CD5" w:rsidP="00100D5D">
      <w:pPr>
        <w:numPr>
          <w:ilvl w:val="0"/>
          <w:numId w:val="24"/>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Billions of tons of DAC needed to decarbonize other industries as well</w:t>
      </w:r>
    </w:p>
    <w:p w14:paraId="2F71CC50" w14:textId="77777777" w:rsidR="00ED3CD5" w:rsidRPr="00670221" w:rsidRDefault="00ED3CD5" w:rsidP="00ED3CD5">
      <w:pPr>
        <w:autoSpaceDE w:val="0"/>
        <w:autoSpaceDN w:val="0"/>
        <w:adjustRightInd w:val="0"/>
        <w:spacing w:before="0" w:after="0"/>
        <w:jc w:val="left"/>
        <w:rPr>
          <w:rFonts w:cstheme="minorHAnsi"/>
          <w:kern w:val="0"/>
          <w:lang w:val="en-US"/>
        </w:rPr>
      </w:pPr>
    </w:p>
    <w:p w14:paraId="3BB7F5E6"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Why are Swiss and Lufthansa investing in direct air capturing now?</w:t>
      </w:r>
    </w:p>
    <w:p w14:paraId="1B61546B" w14:textId="77777777" w:rsidR="00ED3CD5" w:rsidRPr="00670221" w:rsidRDefault="00ED3CD5" w:rsidP="00100D5D">
      <w:pPr>
        <w:numPr>
          <w:ilvl w:val="0"/>
          <w:numId w:val="25"/>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7 years before project initiation → first CDR</w:t>
      </w:r>
    </w:p>
    <w:p w14:paraId="7FF05ADE" w14:textId="77777777" w:rsidR="00ED3CD5" w:rsidRPr="00670221" w:rsidRDefault="00ED3CD5" w:rsidP="00100D5D">
      <w:pPr>
        <w:numPr>
          <w:ilvl w:val="0"/>
          <w:numId w:val="26"/>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Technology needs to be scaled up</w:t>
      </w:r>
    </w:p>
    <w:p w14:paraId="42DAFA39" w14:textId="77777777" w:rsidR="00ED3CD5" w:rsidRPr="00670221" w:rsidRDefault="00ED3CD5" w:rsidP="00100D5D">
      <w:pPr>
        <w:numPr>
          <w:ilvl w:val="1"/>
          <w:numId w:val="27"/>
        </w:numPr>
        <w:tabs>
          <w:tab w:val="left" w:pos="940"/>
          <w:tab w:val="left" w:pos="1440"/>
        </w:tabs>
        <w:autoSpaceDE w:val="0"/>
        <w:autoSpaceDN w:val="0"/>
        <w:adjustRightInd w:val="0"/>
        <w:spacing w:before="0" w:after="0"/>
        <w:ind w:hanging="1440"/>
        <w:jc w:val="left"/>
        <w:rPr>
          <w:rFonts w:cstheme="minorHAnsi"/>
          <w:kern w:val="0"/>
          <w:lang w:val="en-US"/>
        </w:rPr>
      </w:pPr>
      <w:r w:rsidRPr="00670221">
        <w:rPr>
          <w:rFonts w:cstheme="minorHAnsi"/>
          <w:kern w:val="0"/>
          <w:lang w:val="en-US"/>
        </w:rPr>
        <w:t>Huge challenge to scale within time we have left to meet targets</w:t>
      </w:r>
    </w:p>
    <w:p w14:paraId="65BE350C" w14:textId="77777777" w:rsidR="00ED3CD5" w:rsidRPr="00670221" w:rsidRDefault="00ED3CD5" w:rsidP="00ED3CD5">
      <w:pPr>
        <w:autoSpaceDE w:val="0"/>
        <w:autoSpaceDN w:val="0"/>
        <w:adjustRightInd w:val="0"/>
        <w:spacing w:before="0" w:after="0"/>
        <w:jc w:val="left"/>
        <w:rPr>
          <w:rFonts w:cstheme="minorHAnsi"/>
          <w:kern w:val="0"/>
          <w:lang w:val="en-US"/>
        </w:rPr>
      </w:pPr>
    </w:p>
    <w:p w14:paraId="4D05ED1E"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Regulation</w:t>
      </w:r>
    </w:p>
    <w:p w14:paraId="776676FB"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lastRenderedPageBreak/>
        <w:t>What do you expect in the evolution of regulation/when will CDR be included in compliance frameworks such as carbon removal and carbon farming framework?</w:t>
      </w:r>
    </w:p>
    <w:p w14:paraId="30EF6848" w14:textId="77777777" w:rsidR="00ED3CD5" w:rsidRPr="00670221" w:rsidRDefault="00ED3CD5" w:rsidP="00100D5D">
      <w:pPr>
        <w:numPr>
          <w:ilvl w:val="0"/>
          <w:numId w:val="28"/>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Carbon removals not accepted in EU ETS, could happen for 2026</w:t>
      </w:r>
    </w:p>
    <w:p w14:paraId="6B80579D" w14:textId="77777777" w:rsidR="00ED3CD5" w:rsidRPr="00670221" w:rsidRDefault="00ED3CD5" w:rsidP="00100D5D">
      <w:pPr>
        <w:numPr>
          <w:ilvl w:val="0"/>
          <w:numId w:val="29"/>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UK in movement now</w:t>
      </w:r>
    </w:p>
    <w:p w14:paraId="35AE0A7C" w14:textId="77777777" w:rsidR="00ED3CD5" w:rsidRPr="00670221" w:rsidRDefault="00ED3CD5" w:rsidP="00100D5D">
      <w:pPr>
        <w:numPr>
          <w:ilvl w:val="0"/>
          <w:numId w:val="30"/>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Approval of progress for being credible in international removal for IATA</w:t>
      </w:r>
    </w:p>
    <w:p w14:paraId="70D518D3" w14:textId="77777777" w:rsidR="00ED3CD5" w:rsidRPr="00670221" w:rsidRDefault="00ED3CD5" w:rsidP="00100D5D">
      <w:pPr>
        <w:numPr>
          <w:ilvl w:val="0"/>
          <w:numId w:val="31"/>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 xml:space="preserve">Alignment of international standards essential, including accountability towards </w:t>
      </w:r>
      <w:proofErr w:type="gramStart"/>
      <w:r w:rsidRPr="00670221">
        <w:rPr>
          <w:rFonts w:cstheme="minorHAnsi"/>
          <w:kern w:val="0"/>
          <w:lang w:val="en-US"/>
        </w:rPr>
        <w:t>science based</w:t>
      </w:r>
      <w:proofErr w:type="gramEnd"/>
      <w:r w:rsidRPr="00670221">
        <w:rPr>
          <w:rFonts w:cstheme="minorHAnsi"/>
          <w:kern w:val="0"/>
          <w:lang w:val="en-US"/>
        </w:rPr>
        <w:t xml:space="preserve"> targets</w:t>
      </w:r>
    </w:p>
    <w:p w14:paraId="3A26586E" w14:textId="77777777" w:rsidR="00ED3CD5" w:rsidRPr="00670221" w:rsidRDefault="00ED3CD5" w:rsidP="00100D5D">
      <w:pPr>
        <w:numPr>
          <w:ilvl w:val="0"/>
          <w:numId w:val="32"/>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Aviation reduction act</w:t>
      </w:r>
    </w:p>
    <w:p w14:paraId="6C1B3E83" w14:textId="77777777" w:rsidR="00ED3CD5" w:rsidRPr="00670221" w:rsidRDefault="00ED3CD5" w:rsidP="00ED3CD5">
      <w:pPr>
        <w:autoSpaceDE w:val="0"/>
        <w:autoSpaceDN w:val="0"/>
        <w:adjustRightInd w:val="0"/>
        <w:spacing w:before="0" w:after="0"/>
        <w:jc w:val="left"/>
        <w:rPr>
          <w:rFonts w:cstheme="minorHAnsi"/>
          <w:kern w:val="0"/>
          <w:lang w:val="en-US"/>
        </w:rPr>
      </w:pPr>
    </w:p>
    <w:p w14:paraId="6C3A1D86"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 xml:space="preserve">Synthetic aviation fuels vs fossil use + </w:t>
      </w:r>
      <w:proofErr w:type="spellStart"/>
      <w:r w:rsidRPr="00670221">
        <w:rPr>
          <w:rFonts w:cstheme="minorHAnsi"/>
          <w:kern w:val="0"/>
          <w:lang w:val="en-US"/>
        </w:rPr>
        <w:t>cdr</w:t>
      </w:r>
      <w:proofErr w:type="spellEnd"/>
    </w:p>
    <w:p w14:paraId="0C8B9A24" w14:textId="77777777" w:rsidR="00ED3CD5" w:rsidRPr="00670221" w:rsidRDefault="00ED3CD5" w:rsidP="00100D5D">
      <w:pPr>
        <w:numPr>
          <w:ilvl w:val="0"/>
          <w:numId w:val="33"/>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More attractive to prolong use of fossil fuels offset with DAC:</w:t>
      </w:r>
    </w:p>
    <w:p w14:paraId="62A4FF50" w14:textId="77777777" w:rsidR="00ED3CD5" w:rsidRPr="00670221" w:rsidRDefault="00ED3CD5" w:rsidP="00100D5D">
      <w:pPr>
        <w:numPr>
          <w:ilvl w:val="0"/>
          <w:numId w:val="34"/>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Uses less energy</w:t>
      </w:r>
    </w:p>
    <w:p w14:paraId="6EE38EA7" w14:textId="77777777" w:rsidR="00ED3CD5" w:rsidRPr="00670221" w:rsidRDefault="00ED3CD5" w:rsidP="00100D5D">
      <w:pPr>
        <w:numPr>
          <w:ilvl w:val="0"/>
          <w:numId w:val="35"/>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Cheaper</w:t>
      </w:r>
    </w:p>
    <w:p w14:paraId="2AE4A0C5" w14:textId="77777777" w:rsidR="00ED3CD5" w:rsidRPr="00670221" w:rsidRDefault="00ED3CD5" w:rsidP="00100D5D">
      <w:pPr>
        <w:numPr>
          <w:ilvl w:val="0"/>
          <w:numId w:val="36"/>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But postpones scaling investments that need to be made eventually to stimulate SAF production</w:t>
      </w:r>
    </w:p>
    <w:p w14:paraId="1FF86209" w14:textId="77777777" w:rsidR="00ED3CD5" w:rsidRPr="00670221" w:rsidRDefault="00ED3CD5" w:rsidP="00ED3CD5">
      <w:pPr>
        <w:autoSpaceDE w:val="0"/>
        <w:autoSpaceDN w:val="0"/>
        <w:adjustRightInd w:val="0"/>
        <w:spacing w:before="0" w:after="0"/>
        <w:jc w:val="left"/>
        <w:rPr>
          <w:rFonts w:cstheme="minorHAnsi"/>
          <w:kern w:val="0"/>
          <w:lang w:val="en-US"/>
        </w:rPr>
      </w:pPr>
    </w:p>
    <w:p w14:paraId="16D5BD27"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Conclusion:</w:t>
      </w:r>
    </w:p>
    <w:p w14:paraId="0CB381E8"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SAF most important lever for aviation industry stakeholders and preferred pathway. Predicting costs down and rate of learning is difficult, only possible by investing in projects today and scaling up asap.</w:t>
      </w:r>
    </w:p>
    <w:p w14:paraId="43A17AC5" w14:textId="77777777" w:rsidR="00ED3CD5" w:rsidRPr="00670221" w:rsidRDefault="00ED3CD5">
      <w:pPr>
        <w:spacing w:before="0" w:after="0"/>
        <w:jc w:val="left"/>
        <w:rPr>
          <w:rFonts w:cstheme="minorHAnsi"/>
          <w:kern w:val="0"/>
          <w:lang w:val="en-US"/>
        </w:rPr>
      </w:pPr>
      <w:r w:rsidRPr="00670221">
        <w:rPr>
          <w:rFonts w:cstheme="minorHAnsi"/>
          <w:kern w:val="0"/>
          <w:lang w:val="en-US"/>
        </w:rPr>
        <w:br w:type="page"/>
      </w:r>
    </w:p>
    <w:p w14:paraId="6F6E2925" w14:textId="5D8B49F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b/>
          <w:bCs/>
          <w:kern w:val="0"/>
          <w:lang w:val="en-US"/>
        </w:rPr>
        <w:lastRenderedPageBreak/>
        <w:t>Appendix F:</w:t>
      </w:r>
      <w:r w:rsidRPr="00670221">
        <w:rPr>
          <w:rFonts w:cstheme="minorHAnsi"/>
          <w:kern w:val="0"/>
          <w:lang w:val="en-US"/>
        </w:rPr>
        <w:t xml:space="preserve"> Power-to-x webinar 06/06/2024 notes</w:t>
      </w:r>
    </w:p>
    <w:p w14:paraId="702D61F5"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Speakers: Courtney Unruh (Alaska Airlines), Andy Stevenson (Twelve) and Carolina Grassi (RSB)</w:t>
      </w:r>
    </w:p>
    <w:p w14:paraId="1813D50A" w14:textId="77777777" w:rsidR="00ED3CD5" w:rsidRPr="00670221" w:rsidRDefault="00ED3CD5" w:rsidP="00ED3CD5">
      <w:pPr>
        <w:autoSpaceDE w:val="0"/>
        <w:autoSpaceDN w:val="0"/>
        <w:adjustRightInd w:val="0"/>
        <w:spacing w:before="0" w:after="0"/>
        <w:jc w:val="left"/>
        <w:rPr>
          <w:rFonts w:cstheme="minorHAnsi"/>
          <w:kern w:val="0"/>
          <w:lang w:val="en-US"/>
        </w:rPr>
      </w:pPr>
      <w:hyperlink r:id="rId184" w:history="1">
        <w:r w:rsidRPr="00670221">
          <w:rPr>
            <w:rFonts w:cstheme="minorHAnsi"/>
            <w:color w:val="103CC0"/>
            <w:kern w:val="0"/>
            <w:u w:val="single" w:color="103CC0"/>
            <w:lang w:val="en-US"/>
          </w:rPr>
          <w:t>https://www.youtube.com/watch?v=Rpr81taU1wU</w:t>
        </w:r>
      </w:hyperlink>
    </w:p>
    <w:p w14:paraId="4BE09CCD" w14:textId="77777777" w:rsidR="00ED3CD5" w:rsidRPr="00670221" w:rsidRDefault="00ED3CD5" w:rsidP="00ED3CD5">
      <w:pPr>
        <w:autoSpaceDE w:val="0"/>
        <w:autoSpaceDN w:val="0"/>
        <w:adjustRightInd w:val="0"/>
        <w:spacing w:before="0" w:after="0"/>
        <w:jc w:val="left"/>
        <w:rPr>
          <w:rFonts w:cstheme="minorHAnsi"/>
          <w:kern w:val="0"/>
          <w:lang w:val="en-US"/>
        </w:rPr>
      </w:pPr>
    </w:p>
    <w:p w14:paraId="02EC38D9" w14:textId="257870C1"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b/>
          <w:bCs/>
          <w:kern w:val="0"/>
          <w:lang w:val="en-US"/>
        </w:rPr>
        <w:t>Summary</w:t>
      </w:r>
      <w:r w:rsidRPr="00670221">
        <w:rPr>
          <w:rFonts w:cstheme="minorHAnsi"/>
          <w:kern w:val="0"/>
          <w:lang w:val="en-US"/>
        </w:rPr>
        <w:t>:</w:t>
      </w:r>
      <w:r w:rsidRPr="00670221">
        <w:rPr>
          <w:rFonts w:ascii="MS Gothic" w:eastAsia="MS Gothic" w:hAnsi="MS Gothic" w:cs="MS Gothic"/>
          <w:kern w:val="0"/>
          <w:lang w:val="en-US"/>
        </w:rPr>
        <w:t> </w:t>
      </w:r>
      <w:r w:rsidRPr="00670221">
        <w:rPr>
          <w:rFonts w:cstheme="minorHAnsi"/>
          <w:kern w:val="0"/>
          <w:lang w:val="en-US"/>
        </w:rPr>
        <w:t xml:space="preserve">Power-to-liquid most potential, scalable technology with largest reduction potential. No reliance on limited feedstock and modular plants can be installed anywhere. Different technologies are currently being used and developed, with RWGS (reverse water gas shift) the most common. </w:t>
      </w:r>
      <w:proofErr w:type="gramStart"/>
      <w:r w:rsidRPr="00670221">
        <w:rPr>
          <w:rFonts w:cstheme="minorHAnsi"/>
          <w:kern w:val="0"/>
          <w:lang w:val="en-US"/>
        </w:rPr>
        <w:t>As long as</w:t>
      </w:r>
      <w:proofErr w:type="gramEnd"/>
      <w:r w:rsidRPr="00670221">
        <w:rPr>
          <w:rFonts w:cstheme="minorHAnsi"/>
          <w:kern w:val="0"/>
          <w:lang w:val="en-US"/>
        </w:rPr>
        <w:t xml:space="preserve"> the last step is Fischer-</w:t>
      </w:r>
      <w:proofErr w:type="spellStart"/>
      <w:r w:rsidRPr="00670221">
        <w:rPr>
          <w:rFonts w:cstheme="minorHAnsi"/>
          <w:kern w:val="0"/>
          <w:lang w:val="en-US"/>
        </w:rPr>
        <w:t>Tropsch</w:t>
      </w:r>
      <w:proofErr w:type="spellEnd"/>
      <w:r w:rsidRPr="00670221">
        <w:rPr>
          <w:rFonts w:cstheme="minorHAnsi"/>
          <w:kern w:val="0"/>
          <w:lang w:val="en-US"/>
        </w:rPr>
        <w:t xml:space="preserve"> conversion, the fuel can be blended with fossil fuel because FT is ASTM certified. Currently a combination of challenges </w:t>
      </w:r>
      <w:r w:rsidR="0024626A" w:rsidRPr="00670221">
        <w:rPr>
          <w:rFonts w:cstheme="minorHAnsi"/>
          <w:kern w:val="0"/>
          <w:lang w:val="en-US"/>
        </w:rPr>
        <w:t>hinders</w:t>
      </w:r>
      <w:r w:rsidRPr="00670221">
        <w:rPr>
          <w:rFonts w:cstheme="minorHAnsi"/>
          <w:kern w:val="0"/>
          <w:lang w:val="en-US"/>
        </w:rPr>
        <w:t xml:space="preserve"> scaling the technology, mostly the limit of renewable electricity availability. Combination of advancements need to be made and aligned. </w:t>
      </w:r>
      <w:proofErr w:type="gramStart"/>
      <w:r w:rsidRPr="00670221">
        <w:rPr>
          <w:rFonts w:cstheme="minorHAnsi"/>
          <w:kern w:val="0"/>
          <w:lang w:val="en-US"/>
        </w:rPr>
        <w:t>In order to</w:t>
      </w:r>
      <w:proofErr w:type="gramEnd"/>
      <w:r w:rsidRPr="00670221">
        <w:rPr>
          <w:rFonts w:cstheme="minorHAnsi"/>
          <w:kern w:val="0"/>
          <w:lang w:val="en-US"/>
        </w:rPr>
        <w:t xml:space="preserve"> qualify as </w:t>
      </w:r>
      <w:proofErr w:type="spellStart"/>
      <w:r w:rsidRPr="00670221">
        <w:rPr>
          <w:rFonts w:cstheme="minorHAnsi"/>
          <w:kern w:val="0"/>
          <w:lang w:val="en-US"/>
        </w:rPr>
        <w:t>electrofuel</w:t>
      </w:r>
      <w:proofErr w:type="spellEnd"/>
      <w:r w:rsidRPr="00670221">
        <w:rPr>
          <w:rFonts w:cstheme="minorHAnsi"/>
          <w:kern w:val="0"/>
          <w:lang w:val="en-US"/>
        </w:rPr>
        <w:t xml:space="preserve"> (with actual CO2 reduction), certain requirements regarding renewable energy and hydrogen production have to be met, which is something Skytree should pay attention to when orchestrating a new e-fuel project with such partners.</w:t>
      </w:r>
    </w:p>
    <w:p w14:paraId="3B4D7E2D"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ascii="MS Gothic" w:eastAsia="MS Gothic" w:hAnsi="MS Gothic" w:cs="MS Gothic"/>
          <w:kern w:val="0"/>
          <w:lang w:val="en-US"/>
        </w:rPr>
        <w:t> </w:t>
      </w:r>
      <w:r w:rsidRPr="00670221">
        <w:rPr>
          <w:rFonts w:cstheme="minorHAnsi"/>
          <w:kern w:val="0"/>
          <w:lang w:val="en-US"/>
        </w:rPr>
        <w:t>Why is Alaska airlines interested in power to liquid?</w:t>
      </w:r>
    </w:p>
    <w:p w14:paraId="26EE57AC" w14:textId="77777777" w:rsidR="00ED3CD5" w:rsidRPr="00670221" w:rsidRDefault="00ED3CD5" w:rsidP="00100D5D">
      <w:pPr>
        <w:numPr>
          <w:ilvl w:val="0"/>
          <w:numId w:val="37"/>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Large amount of emission reductions per liter of fuel</w:t>
      </w:r>
    </w:p>
    <w:p w14:paraId="20A62B5E" w14:textId="77777777" w:rsidR="00ED3CD5" w:rsidRPr="00670221" w:rsidRDefault="00ED3CD5" w:rsidP="00100D5D">
      <w:pPr>
        <w:numPr>
          <w:ilvl w:val="0"/>
          <w:numId w:val="38"/>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No reliance on limited feedstock supply</w:t>
      </w:r>
    </w:p>
    <w:p w14:paraId="21DA6C5F" w14:textId="77777777" w:rsidR="00ED3CD5" w:rsidRPr="00670221" w:rsidRDefault="00ED3CD5" w:rsidP="00100D5D">
      <w:pPr>
        <w:numPr>
          <w:ilvl w:val="0"/>
          <w:numId w:val="39"/>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Plants are modular with a small footprint, can be installed anywhere</w:t>
      </w:r>
    </w:p>
    <w:p w14:paraId="537C4D54" w14:textId="77777777" w:rsidR="00ED3CD5" w:rsidRPr="00670221" w:rsidRDefault="00ED3CD5" w:rsidP="00ED3CD5">
      <w:pPr>
        <w:autoSpaceDE w:val="0"/>
        <w:autoSpaceDN w:val="0"/>
        <w:adjustRightInd w:val="0"/>
        <w:spacing w:before="0" w:after="0"/>
        <w:jc w:val="left"/>
        <w:rPr>
          <w:rFonts w:cstheme="minorHAnsi"/>
          <w:kern w:val="0"/>
          <w:lang w:val="en-US"/>
        </w:rPr>
      </w:pPr>
    </w:p>
    <w:p w14:paraId="62AF8108"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Andy Stevenson, VP of Commercial, (Twelve)</w:t>
      </w:r>
    </w:p>
    <w:p w14:paraId="01F5F0DE" w14:textId="77777777" w:rsidR="00ED3CD5" w:rsidRPr="00670221" w:rsidRDefault="00ED3CD5" w:rsidP="00ED3CD5">
      <w:pPr>
        <w:autoSpaceDE w:val="0"/>
        <w:autoSpaceDN w:val="0"/>
        <w:adjustRightInd w:val="0"/>
        <w:spacing w:before="0" w:after="0"/>
        <w:jc w:val="left"/>
        <w:rPr>
          <w:rFonts w:cstheme="minorHAnsi"/>
          <w:kern w:val="0"/>
          <w:lang w:val="en-US"/>
        </w:rPr>
      </w:pPr>
    </w:p>
    <w:p w14:paraId="532629C6"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Advantages of power-to-x:</w:t>
      </w:r>
    </w:p>
    <w:p w14:paraId="7A1D6273" w14:textId="77777777" w:rsidR="00ED3CD5" w:rsidRPr="00670221" w:rsidRDefault="00ED3CD5" w:rsidP="00100D5D">
      <w:pPr>
        <w:numPr>
          <w:ilvl w:val="0"/>
          <w:numId w:val="40"/>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Best scalable, depends on scale of renewable energy</w:t>
      </w:r>
    </w:p>
    <w:p w14:paraId="5456DE98" w14:textId="77777777" w:rsidR="00ED3CD5" w:rsidRPr="00670221" w:rsidRDefault="00ED3CD5" w:rsidP="00100D5D">
      <w:pPr>
        <w:numPr>
          <w:ilvl w:val="0"/>
          <w:numId w:val="41"/>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10 x more energy per m2 compared to biomass</w:t>
      </w:r>
    </w:p>
    <w:p w14:paraId="23A660FC" w14:textId="77777777" w:rsidR="00ED3CD5" w:rsidRPr="00670221" w:rsidRDefault="00ED3CD5" w:rsidP="00100D5D">
      <w:pPr>
        <w:numPr>
          <w:ilvl w:val="0"/>
          <w:numId w:val="42"/>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Fischer-</w:t>
      </w:r>
      <w:proofErr w:type="spellStart"/>
      <w:r w:rsidRPr="00670221">
        <w:rPr>
          <w:rFonts w:cstheme="minorHAnsi"/>
          <w:kern w:val="0"/>
          <w:lang w:val="en-US"/>
        </w:rPr>
        <w:t>Tropsch</w:t>
      </w:r>
      <w:proofErr w:type="spellEnd"/>
      <w:r w:rsidRPr="00670221">
        <w:rPr>
          <w:rFonts w:cstheme="minorHAnsi"/>
          <w:kern w:val="0"/>
          <w:lang w:val="en-US"/>
        </w:rPr>
        <w:t xml:space="preserve"> is an ASTM certified pathway and qualifies for blending with fossil fuels (depends on catalyst)</w:t>
      </w:r>
    </w:p>
    <w:p w14:paraId="40E36F60" w14:textId="77777777" w:rsidR="00ED3CD5" w:rsidRPr="00670221" w:rsidRDefault="00ED3CD5" w:rsidP="00ED3CD5">
      <w:pPr>
        <w:autoSpaceDE w:val="0"/>
        <w:autoSpaceDN w:val="0"/>
        <w:adjustRightInd w:val="0"/>
        <w:spacing w:before="0" w:after="0"/>
        <w:jc w:val="left"/>
        <w:rPr>
          <w:rFonts w:cstheme="minorHAnsi"/>
          <w:kern w:val="0"/>
          <w:lang w:val="en-US"/>
        </w:rPr>
      </w:pPr>
    </w:p>
    <w:p w14:paraId="703488D1"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Comparison of power-to-x processes:</w:t>
      </w:r>
    </w:p>
    <w:p w14:paraId="2A71BD0D" w14:textId="77777777" w:rsidR="00ED3CD5" w:rsidRPr="00670221" w:rsidRDefault="00ED3CD5" w:rsidP="00100D5D">
      <w:pPr>
        <w:numPr>
          <w:ilvl w:val="0"/>
          <w:numId w:val="43"/>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RWGS is most advanced due to industry application. It is highly hydrogen intensive, so in an electrified energy system the use of electricity can be more applicable than hydrogen</w:t>
      </w:r>
    </w:p>
    <w:p w14:paraId="686E709D" w14:textId="77777777" w:rsidR="00ED3CD5" w:rsidRPr="00670221" w:rsidRDefault="00ED3CD5" w:rsidP="00100D5D">
      <w:pPr>
        <w:numPr>
          <w:ilvl w:val="0"/>
          <w:numId w:val="44"/>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Methanol-to-jet</w:t>
      </w:r>
    </w:p>
    <w:p w14:paraId="6FE32F84" w14:textId="77777777" w:rsidR="00ED3CD5" w:rsidRPr="00670221" w:rsidRDefault="00ED3CD5" w:rsidP="00100D5D">
      <w:pPr>
        <w:numPr>
          <w:ilvl w:val="0"/>
          <w:numId w:val="45"/>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Electrochemical reduction of CO2</w:t>
      </w:r>
    </w:p>
    <w:p w14:paraId="79A2DE26" w14:textId="77777777" w:rsidR="00ED3CD5" w:rsidRPr="00670221" w:rsidRDefault="00ED3CD5" w:rsidP="00100D5D">
      <w:pPr>
        <w:numPr>
          <w:ilvl w:val="1"/>
          <w:numId w:val="46"/>
        </w:numPr>
        <w:tabs>
          <w:tab w:val="left" w:pos="940"/>
          <w:tab w:val="left" w:pos="1440"/>
        </w:tabs>
        <w:autoSpaceDE w:val="0"/>
        <w:autoSpaceDN w:val="0"/>
        <w:adjustRightInd w:val="0"/>
        <w:spacing w:before="0" w:after="0"/>
        <w:ind w:hanging="1440"/>
        <w:jc w:val="left"/>
        <w:rPr>
          <w:rFonts w:cstheme="minorHAnsi"/>
          <w:kern w:val="0"/>
          <w:lang w:val="en-US"/>
        </w:rPr>
      </w:pPr>
      <w:r w:rsidRPr="00670221">
        <w:rPr>
          <w:rFonts w:cstheme="minorHAnsi"/>
          <w:kern w:val="0"/>
          <w:lang w:val="en-US"/>
        </w:rPr>
        <w:t>Less hydrogen intensive</w:t>
      </w:r>
    </w:p>
    <w:p w14:paraId="78315A1A" w14:textId="77777777" w:rsidR="00ED3CD5" w:rsidRPr="00670221" w:rsidRDefault="00ED3CD5" w:rsidP="00100D5D">
      <w:pPr>
        <w:numPr>
          <w:ilvl w:val="1"/>
          <w:numId w:val="47"/>
        </w:numPr>
        <w:tabs>
          <w:tab w:val="left" w:pos="940"/>
          <w:tab w:val="left" w:pos="1440"/>
        </w:tabs>
        <w:autoSpaceDE w:val="0"/>
        <w:autoSpaceDN w:val="0"/>
        <w:adjustRightInd w:val="0"/>
        <w:spacing w:before="0" w:after="0"/>
        <w:ind w:hanging="1440"/>
        <w:jc w:val="left"/>
        <w:rPr>
          <w:rFonts w:cstheme="minorHAnsi"/>
          <w:kern w:val="0"/>
          <w:lang w:val="en-US"/>
        </w:rPr>
      </w:pPr>
      <w:r w:rsidRPr="00670221">
        <w:rPr>
          <w:rFonts w:cstheme="minorHAnsi"/>
          <w:kern w:val="0"/>
          <w:lang w:val="en-US"/>
        </w:rPr>
        <w:t>More electricity intensive</w:t>
      </w:r>
    </w:p>
    <w:p w14:paraId="185A92DB" w14:textId="77777777" w:rsidR="00ED3CD5" w:rsidRPr="00670221" w:rsidRDefault="00ED3CD5" w:rsidP="00100D5D">
      <w:pPr>
        <w:numPr>
          <w:ilvl w:val="2"/>
          <w:numId w:val="48"/>
        </w:numPr>
        <w:tabs>
          <w:tab w:val="left" w:pos="1660"/>
          <w:tab w:val="left" w:pos="2160"/>
        </w:tabs>
        <w:autoSpaceDE w:val="0"/>
        <w:autoSpaceDN w:val="0"/>
        <w:adjustRightInd w:val="0"/>
        <w:spacing w:before="0" w:after="0"/>
        <w:ind w:hanging="2160"/>
        <w:jc w:val="left"/>
        <w:rPr>
          <w:rFonts w:cstheme="minorHAnsi"/>
          <w:kern w:val="0"/>
          <w:lang w:val="en-US"/>
        </w:rPr>
      </w:pPr>
      <w:r w:rsidRPr="00670221">
        <w:rPr>
          <w:rFonts w:cstheme="minorHAnsi"/>
          <w:kern w:val="0"/>
          <w:lang w:val="en-US"/>
        </w:rPr>
        <w:t>So highest carbon reduction potential</w:t>
      </w:r>
    </w:p>
    <w:p w14:paraId="65C09554" w14:textId="77777777" w:rsidR="00ED3CD5" w:rsidRPr="00670221" w:rsidRDefault="00ED3CD5" w:rsidP="00100D5D">
      <w:pPr>
        <w:numPr>
          <w:ilvl w:val="0"/>
          <w:numId w:val="49"/>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 xml:space="preserve">Co-electrolysis of CO2 and water → syngas: hydrogen and CO synthesis from 1 </w:t>
      </w:r>
      <w:proofErr w:type="spellStart"/>
      <w:r w:rsidRPr="00670221">
        <w:rPr>
          <w:rFonts w:cstheme="minorHAnsi"/>
          <w:kern w:val="0"/>
          <w:lang w:val="en-US"/>
        </w:rPr>
        <w:t>electrolyzer</w:t>
      </w:r>
      <w:proofErr w:type="spellEnd"/>
    </w:p>
    <w:p w14:paraId="282D9314" w14:textId="77777777" w:rsidR="00ED3CD5" w:rsidRPr="00670221" w:rsidRDefault="00ED3CD5" w:rsidP="00100D5D">
      <w:pPr>
        <w:numPr>
          <w:ilvl w:val="1"/>
          <w:numId w:val="50"/>
        </w:numPr>
        <w:tabs>
          <w:tab w:val="left" w:pos="940"/>
          <w:tab w:val="left" w:pos="1440"/>
        </w:tabs>
        <w:autoSpaceDE w:val="0"/>
        <w:autoSpaceDN w:val="0"/>
        <w:adjustRightInd w:val="0"/>
        <w:spacing w:before="0" w:after="0"/>
        <w:ind w:hanging="1440"/>
        <w:jc w:val="left"/>
        <w:rPr>
          <w:rFonts w:cstheme="minorHAnsi"/>
          <w:kern w:val="0"/>
          <w:lang w:val="en-US"/>
        </w:rPr>
      </w:pPr>
      <w:r w:rsidRPr="00670221">
        <w:rPr>
          <w:rFonts w:cstheme="minorHAnsi"/>
          <w:kern w:val="0"/>
          <w:lang w:val="en-US"/>
        </w:rPr>
        <w:t>Uses heat (usually fossil)</w:t>
      </w:r>
    </w:p>
    <w:p w14:paraId="77703EC1" w14:textId="77777777" w:rsidR="00ED3CD5" w:rsidRPr="00670221" w:rsidRDefault="00ED3CD5" w:rsidP="00ED3CD5">
      <w:pPr>
        <w:autoSpaceDE w:val="0"/>
        <w:autoSpaceDN w:val="0"/>
        <w:adjustRightInd w:val="0"/>
        <w:spacing w:before="0" w:after="0"/>
        <w:jc w:val="left"/>
        <w:rPr>
          <w:rFonts w:cstheme="minorHAnsi"/>
          <w:kern w:val="0"/>
          <w:lang w:val="en-US"/>
        </w:rPr>
      </w:pPr>
    </w:p>
    <w:p w14:paraId="28245FCF"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Challenges for scaling Power-to-Liquid:</w:t>
      </w:r>
    </w:p>
    <w:p w14:paraId="167C5F0B" w14:textId="77777777" w:rsidR="00ED3CD5" w:rsidRPr="00670221" w:rsidRDefault="00ED3CD5" w:rsidP="00100D5D">
      <w:pPr>
        <w:numPr>
          <w:ilvl w:val="0"/>
          <w:numId w:val="51"/>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 xml:space="preserve">There is enough biogenic CO2 for 40 billion liters of </w:t>
      </w:r>
      <w:proofErr w:type="spellStart"/>
      <w:r w:rsidRPr="00670221">
        <w:rPr>
          <w:rFonts w:cstheme="minorHAnsi"/>
          <w:kern w:val="0"/>
          <w:lang w:val="en-US"/>
        </w:rPr>
        <w:t>eSAF</w:t>
      </w:r>
      <w:proofErr w:type="spellEnd"/>
    </w:p>
    <w:p w14:paraId="3C56F07A" w14:textId="77777777" w:rsidR="00ED3CD5" w:rsidRPr="00670221" w:rsidRDefault="00ED3CD5" w:rsidP="00100D5D">
      <w:pPr>
        <w:numPr>
          <w:ilvl w:val="0"/>
          <w:numId w:val="52"/>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 xml:space="preserve">Feedstock concentration/quality is low: cannot be directly used </w:t>
      </w:r>
      <w:proofErr w:type="gramStart"/>
      <w:r w:rsidRPr="00670221">
        <w:rPr>
          <w:rFonts w:cstheme="minorHAnsi"/>
          <w:kern w:val="0"/>
          <w:lang w:val="en-US"/>
        </w:rPr>
        <w:t>at the moment</w:t>
      </w:r>
      <w:proofErr w:type="gramEnd"/>
    </w:p>
    <w:p w14:paraId="6E545D19" w14:textId="77777777" w:rsidR="00ED3CD5" w:rsidRPr="00670221" w:rsidRDefault="00ED3CD5" w:rsidP="00100D5D">
      <w:pPr>
        <w:numPr>
          <w:ilvl w:val="0"/>
          <w:numId w:val="53"/>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High cost of capture makes it infeasible</w:t>
      </w:r>
    </w:p>
    <w:p w14:paraId="35846DB0" w14:textId="77777777" w:rsidR="00ED3CD5" w:rsidRPr="00670221" w:rsidRDefault="00ED3CD5" w:rsidP="00100D5D">
      <w:pPr>
        <w:numPr>
          <w:ilvl w:val="0"/>
          <w:numId w:val="54"/>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Non-biogenic CO2 for P-t-L fuels are cheaper to capture (cement, ammonia, natural gas processing) but will not always be available in the future</w:t>
      </w:r>
    </w:p>
    <w:p w14:paraId="3470B81A" w14:textId="77777777" w:rsidR="00ED3CD5" w:rsidRPr="00670221" w:rsidRDefault="00ED3CD5" w:rsidP="00100D5D">
      <w:pPr>
        <w:numPr>
          <w:ilvl w:val="0"/>
          <w:numId w:val="55"/>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lastRenderedPageBreak/>
        <w:t>Feedstock challenges: competition for biogenic CO2</w:t>
      </w:r>
    </w:p>
    <w:p w14:paraId="63539C01" w14:textId="77777777" w:rsidR="00ED3CD5" w:rsidRPr="00670221" w:rsidRDefault="00ED3CD5" w:rsidP="00100D5D">
      <w:pPr>
        <w:numPr>
          <w:ilvl w:val="0"/>
          <w:numId w:val="56"/>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Renewable energy integration more limiting</w:t>
      </w:r>
    </w:p>
    <w:p w14:paraId="1994B50C" w14:textId="77777777" w:rsidR="00ED3CD5" w:rsidRPr="00670221" w:rsidRDefault="00ED3CD5" w:rsidP="00ED3CD5">
      <w:pPr>
        <w:autoSpaceDE w:val="0"/>
        <w:autoSpaceDN w:val="0"/>
        <w:adjustRightInd w:val="0"/>
        <w:spacing w:before="0" w:after="0"/>
        <w:jc w:val="left"/>
        <w:rPr>
          <w:rFonts w:cstheme="minorHAnsi"/>
          <w:kern w:val="0"/>
          <w:lang w:val="en-US"/>
        </w:rPr>
      </w:pPr>
    </w:p>
    <w:p w14:paraId="78F2494D"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Key critical advancements that need to align for large scale adoption of Power-to-Liquid:</w:t>
      </w:r>
    </w:p>
    <w:p w14:paraId="01F2F4CE" w14:textId="77777777" w:rsidR="00ED3CD5" w:rsidRPr="00670221" w:rsidRDefault="00ED3CD5" w:rsidP="00100D5D">
      <w:pPr>
        <w:numPr>
          <w:ilvl w:val="0"/>
          <w:numId w:val="57"/>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Green hydrogen availability</w:t>
      </w:r>
    </w:p>
    <w:p w14:paraId="60A6309E" w14:textId="77777777" w:rsidR="00ED3CD5" w:rsidRPr="00670221" w:rsidRDefault="00ED3CD5" w:rsidP="00100D5D">
      <w:pPr>
        <w:numPr>
          <w:ilvl w:val="0"/>
          <w:numId w:val="58"/>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Cheaper carbon capture technologies</w:t>
      </w:r>
    </w:p>
    <w:p w14:paraId="62A3F690" w14:textId="77777777" w:rsidR="00ED3CD5" w:rsidRPr="00670221" w:rsidRDefault="00ED3CD5" w:rsidP="00100D5D">
      <w:pPr>
        <w:numPr>
          <w:ilvl w:val="0"/>
          <w:numId w:val="59"/>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Renewable energy abundance</w:t>
      </w:r>
    </w:p>
    <w:p w14:paraId="4736E900" w14:textId="77777777" w:rsidR="00ED3CD5" w:rsidRPr="00670221" w:rsidRDefault="00ED3CD5" w:rsidP="00100D5D">
      <w:pPr>
        <w:numPr>
          <w:ilvl w:val="0"/>
          <w:numId w:val="60"/>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Biomass feedstocks</w:t>
      </w:r>
    </w:p>
    <w:p w14:paraId="2095740D" w14:textId="77777777" w:rsidR="00ED3CD5" w:rsidRPr="00670221" w:rsidRDefault="00ED3CD5" w:rsidP="00100D5D">
      <w:pPr>
        <w:numPr>
          <w:ilvl w:val="0"/>
          <w:numId w:val="61"/>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FT and hydrotreating possible at smaller scale</w:t>
      </w:r>
    </w:p>
    <w:p w14:paraId="2091E267" w14:textId="77777777" w:rsidR="00ED3CD5" w:rsidRPr="00670221" w:rsidRDefault="00ED3CD5" w:rsidP="00100D5D">
      <w:pPr>
        <w:numPr>
          <w:ilvl w:val="0"/>
          <w:numId w:val="62"/>
        </w:numPr>
        <w:tabs>
          <w:tab w:val="left" w:pos="220"/>
          <w:tab w:val="left" w:pos="720"/>
        </w:tabs>
        <w:autoSpaceDE w:val="0"/>
        <w:autoSpaceDN w:val="0"/>
        <w:adjustRightInd w:val="0"/>
        <w:spacing w:before="0" w:after="0"/>
        <w:ind w:hanging="720"/>
        <w:jc w:val="left"/>
        <w:rPr>
          <w:rFonts w:cstheme="minorHAnsi"/>
          <w:kern w:val="0"/>
          <w:lang w:val="en-US"/>
        </w:rPr>
      </w:pPr>
      <w:r w:rsidRPr="00670221">
        <w:rPr>
          <w:rFonts w:cstheme="minorHAnsi"/>
          <w:kern w:val="0"/>
          <w:lang w:val="en-US"/>
        </w:rPr>
        <w:t xml:space="preserve">Incentives needed to bring us down cost curve of all </w:t>
      </w:r>
      <w:proofErr w:type="spellStart"/>
      <w:r w:rsidRPr="00670221">
        <w:rPr>
          <w:rFonts w:cstheme="minorHAnsi"/>
          <w:kern w:val="0"/>
          <w:lang w:val="en-US"/>
        </w:rPr>
        <w:t>technologie</w:t>
      </w:r>
      <w:proofErr w:type="spellEnd"/>
    </w:p>
    <w:p w14:paraId="17A74E6E" w14:textId="77777777" w:rsidR="00ED3CD5" w:rsidRPr="00670221" w:rsidRDefault="00ED3CD5" w:rsidP="00ED3CD5">
      <w:pPr>
        <w:autoSpaceDE w:val="0"/>
        <w:autoSpaceDN w:val="0"/>
        <w:adjustRightInd w:val="0"/>
        <w:spacing w:before="0" w:after="0"/>
        <w:jc w:val="left"/>
        <w:rPr>
          <w:rFonts w:cstheme="minorHAnsi"/>
          <w:kern w:val="0"/>
          <w:lang w:val="en-US"/>
        </w:rPr>
      </w:pPr>
    </w:p>
    <w:p w14:paraId="0AC01D13" w14:textId="40414C76" w:rsidR="00ED3CD5" w:rsidRPr="00670221" w:rsidRDefault="00ED3CD5" w:rsidP="00ED3CD5">
      <w:pPr>
        <w:spacing w:before="0" w:after="0"/>
        <w:jc w:val="left"/>
        <w:rPr>
          <w:rFonts w:ascii="Times New Roman" w:eastAsia="Times New Roman" w:hAnsi="Times New Roman" w:cs="Times New Roman"/>
          <w:kern w:val="0"/>
          <w:lang w:val="en-US" w:eastAsia="en-GB"/>
          <w14:ligatures w14:val="none"/>
        </w:rPr>
      </w:pPr>
      <w:r w:rsidRPr="00670221">
        <w:rPr>
          <w:rFonts w:ascii="Open Sans" w:eastAsia="Times New Roman" w:hAnsi="Open Sans" w:cs="Open Sans"/>
          <w:color w:val="000000"/>
          <w:kern w:val="0"/>
          <w:sz w:val="22"/>
          <w:szCs w:val="22"/>
          <w:bdr w:val="none" w:sz="0" w:space="0" w:color="auto" w:frame="1"/>
          <w:lang w:val="en-US" w:eastAsia="en-GB"/>
          <w14:ligatures w14:val="none"/>
        </w:rPr>
        <w:fldChar w:fldCharType="begin"/>
      </w:r>
      <w:r w:rsidRPr="00670221">
        <w:rPr>
          <w:rFonts w:ascii="Open Sans" w:eastAsia="Times New Roman" w:hAnsi="Open Sans" w:cs="Open Sans"/>
          <w:color w:val="000000"/>
          <w:kern w:val="0"/>
          <w:sz w:val="22"/>
          <w:szCs w:val="22"/>
          <w:bdr w:val="none" w:sz="0" w:space="0" w:color="auto" w:frame="1"/>
          <w:lang w:val="en-US" w:eastAsia="en-GB"/>
          <w14:ligatures w14:val="none"/>
        </w:rPr>
        <w:instrText xml:space="preserve"> INCLUDEPICTURE "https://lh7-qw.googleusercontent.com/docsz/AD_4nXfnfyndgyijyvTi2cO9VcddhpU7_a6rYe7c5NqrciQcA7xRhqtctQIgQdr1sYCKosUHR3fsjLj3AkXBQC8Hf_or83rceVbChoPr3UZ0qwlOcnLWNp_KvnrUjXNHvUQqIP4zT3NP4EN8JETSqqFpy-rHOVfF?key=nognvAQonXwp9p-BDGrDBQ" \* MERGEFORMATINET </w:instrText>
      </w:r>
      <w:r w:rsidRPr="00670221">
        <w:rPr>
          <w:rFonts w:ascii="Open Sans" w:eastAsia="Times New Roman" w:hAnsi="Open Sans" w:cs="Open Sans"/>
          <w:color w:val="000000"/>
          <w:kern w:val="0"/>
          <w:sz w:val="22"/>
          <w:szCs w:val="22"/>
          <w:bdr w:val="none" w:sz="0" w:space="0" w:color="auto" w:frame="1"/>
          <w:lang w:val="en-US" w:eastAsia="en-GB"/>
          <w14:ligatures w14:val="none"/>
        </w:rPr>
        <w:fldChar w:fldCharType="separate"/>
      </w:r>
      <w:r w:rsidRPr="00670221">
        <w:rPr>
          <w:rFonts w:ascii="Open Sans" w:eastAsia="Times New Roman" w:hAnsi="Open Sans" w:cs="Open Sans"/>
          <w:noProof/>
          <w:color w:val="000000"/>
          <w:kern w:val="0"/>
          <w:sz w:val="22"/>
          <w:szCs w:val="22"/>
          <w:bdr w:val="none" w:sz="0" w:space="0" w:color="auto" w:frame="1"/>
          <w:lang w:val="en-US" w:eastAsia="en-GB"/>
          <w14:ligatures w14:val="none"/>
        </w:rPr>
        <w:drawing>
          <wp:inline distT="0" distB="0" distL="0" distR="0" wp14:anchorId="160617CC" wp14:editId="318C5F38">
            <wp:extent cx="5731510" cy="3192145"/>
            <wp:effectExtent l="0" t="0" r="0" b="0"/>
            <wp:docPr id="74168164" name="Picture 22" descr="A diagram of electricity used in production of electrofun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8164" name="Picture 22" descr="A diagram of electricity used in production of electrofunction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92145"/>
                    </a:xfrm>
                    <a:prstGeom prst="rect">
                      <a:avLst/>
                    </a:prstGeom>
                    <a:noFill/>
                    <a:ln>
                      <a:noFill/>
                    </a:ln>
                  </pic:spPr>
                </pic:pic>
              </a:graphicData>
            </a:graphic>
          </wp:inline>
        </w:drawing>
      </w:r>
      <w:r w:rsidRPr="00670221">
        <w:rPr>
          <w:rFonts w:ascii="Open Sans" w:eastAsia="Times New Roman" w:hAnsi="Open Sans" w:cs="Open Sans"/>
          <w:color w:val="000000"/>
          <w:kern w:val="0"/>
          <w:sz w:val="22"/>
          <w:szCs w:val="22"/>
          <w:bdr w:val="none" w:sz="0" w:space="0" w:color="auto" w:frame="1"/>
          <w:lang w:val="en-US" w:eastAsia="en-GB"/>
          <w14:ligatures w14:val="none"/>
        </w:rPr>
        <w:fldChar w:fldCharType="end"/>
      </w:r>
    </w:p>
    <w:p w14:paraId="07280EF0" w14:textId="2855B833" w:rsidR="00ED3CD5" w:rsidRPr="00670221" w:rsidRDefault="00ED3CD5" w:rsidP="00ED3CD5">
      <w:pPr>
        <w:spacing w:before="0" w:after="0"/>
        <w:jc w:val="left"/>
        <w:rPr>
          <w:rFonts w:ascii="Times New Roman" w:eastAsia="Times New Roman" w:hAnsi="Times New Roman" w:cs="Times New Roman"/>
          <w:kern w:val="0"/>
          <w:lang w:val="en-US" w:eastAsia="en-GB"/>
          <w14:ligatures w14:val="none"/>
        </w:rPr>
      </w:pPr>
      <w:r w:rsidRPr="00670221">
        <w:rPr>
          <w:rFonts w:ascii="Open Sans" w:eastAsia="Times New Roman" w:hAnsi="Open Sans" w:cs="Open Sans"/>
          <w:color w:val="000000"/>
          <w:kern w:val="0"/>
          <w:sz w:val="22"/>
          <w:szCs w:val="22"/>
          <w:bdr w:val="none" w:sz="0" w:space="0" w:color="auto" w:frame="1"/>
          <w:lang w:val="en-US" w:eastAsia="en-GB"/>
          <w14:ligatures w14:val="none"/>
        </w:rPr>
        <w:fldChar w:fldCharType="begin"/>
      </w:r>
      <w:r w:rsidRPr="00670221">
        <w:rPr>
          <w:rFonts w:ascii="Open Sans" w:eastAsia="Times New Roman" w:hAnsi="Open Sans" w:cs="Open Sans"/>
          <w:color w:val="000000"/>
          <w:kern w:val="0"/>
          <w:sz w:val="22"/>
          <w:szCs w:val="22"/>
          <w:bdr w:val="none" w:sz="0" w:space="0" w:color="auto" w:frame="1"/>
          <w:lang w:val="en-US" w:eastAsia="en-GB"/>
          <w14:ligatures w14:val="none"/>
        </w:rPr>
        <w:instrText xml:space="preserve"> INCLUDEPICTURE "https://lh7-qw.googleusercontent.com/docsz/AD_4nXdmexxuDeu9TXA-fB7XrSQ3yZtCySOifzlBZozishL2hUAcqyQK69iiHLspK3qMdRbTk5mGwW8fq4vpf6dyiwVoC3bcfBhag5IVE27fcCTgW16ZAkeZvwhFLlhxuFkA1cLtH8MHZlNDWJkyineWxDn_CD95?key=nognvAQonXwp9p-BDGrDBQ" \* MERGEFORMATINET </w:instrText>
      </w:r>
      <w:r w:rsidRPr="00670221">
        <w:rPr>
          <w:rFonts w:ascii="Open Sans" w:eastAsia="Times New Roman" w:hAnsi="Open Sans" w:cs="Open Sans"/>
          <w:color w:val="000000"/>
          <w:kern w:val="0"/>
          <w:sz w:val="22"/>
          <w:szCs w:val="22"/>
          <w:bdr w:val="none" w:sz="0" w:space="0" w:color="auto" w:frame="1"/>
          <w:lang w:val="en-US" w:eastAsia="en-GB"/>
          <w14:ligatures w14:val="none"/>
        </w:rPr>
        <w:fldChar w:fldCharType="separate"/>
      </w:r>
      <w:r w:rsidRPr="00670221">
        <w:rPr>
          <w:rFonts w:ascii="Open Sans" w:eastAsia="Times New Roman" w:hAnsi="Open Sans" w:cs="Open Sans"/>
          <w:noProof/>
          <w:color w:val="000000"/>
          <w:kern w:val="0"/>
          <w:sz w:val="22"/>
          <w:szCs w:val="22"/>
          <w:bdr w:val="none" w:sz="0" w:space="0" w:color="auto" w:frame="1"/>
          <w:lang w:val="en-US" w:eastAsia="en-GB"/>
          <w14:ligatures w14:val="none"/>
        </w:rPr>
        <w:drawing>
          <wp:inline distT="0" distB="0" distL="0" distR="0" wp14:anchorId="02CBBBB7" wp14:editId="0AFD46A8">
            <wp:extent cx="5731510" cy="3208020"/>
            <wp:effectExtent l="0" t="0" r="0" b="5080"/>
            <wp:docPr id="1737928408" name="Picture 21" descr="A diagram of a diagram of a carbon sour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28408" name="Picture 21" descr="A diagram of a diagram of a carbon source&#10;&#10;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1510" cy="3208020"/>
                    </a:xfrm>
                    <a:prstGeom prst="rect">
                      <a:avLst/>
                    </a:prstGeom>
                    <a:noFill/>
                    <a:ln>
                      <a:noFill/>
                    </a:ln>
                  </pic:spPr>
                </pic:pic>
              </a:graphicData>
            </a:graphic>
          </wp:inline>
        </w:drawing>
      </w:r>
      <w:r w:rsidRPr="00670221">
        <w:rPr>
          <w:rFonts w:ascii="Open Sans" w:eastAsia="Times New Roman" w:hAnsi="Open Sans" w:cs="Open Sans"/>
          <w:color w:val="000000"/>
          <w:kern w:val="0"/>
          <w:sz w:val="22"/>
          <w:szCs w:val="22"/>
          <w:bdr w:val="none" w:sz="0" w:space="0" w:color="auto" w:frame="1"/>
          <w:lang w:val="en-US" w:eastAsia="en-GB"/>
          <w14:ligatures w14:val="none"/>
        </w:rPr>
        <w:fldChar w:fldCharType="end"/>
      </w:r>
    </w:p>
    <w:p w14:paraId="26D1C709" w14:textId="77777777" w:rsidR="00ED3CD5" w:rsidRPr="00670221" w:rsidRDefault="00ED3CD5" w:rsidP="00ED3CD5">
      <w:pPr>
        <w:spacing w:before="0" w:after="0"/>
        <w:jc w:val="left"/>
        <w:rPr>
          <w:rFonts w:ascii="Times New Roman" w:eastAsia="Times New Roman" w:hAnsi="Times New Roman" w:cs="Times New Roman"/>
          <w:kern w:val="0"/>
          <w:lang w:val="en-US" w:eastAsia="en-GB"/>
          <w14:ligatures w14:val="none"/>
        </w:rPr>
      </w:pPr>
    </w:p>
    <w:p w14:paraId="58CD6070" w14:textId="039C45D5" w:rsidR="00ED3CD5" w:rsidRPr="00670221" w:rsidRDefault="00ED3CD5" w:rsidP="00ED3CD5">
      <w:pPr>
        <w:spacing w:before="0" w:after="0"/>
        <w:jc w:val="left"/>
        <w:rPr>
          <w:rFonts w:ascii="Times New Roman" w:eastAsia="Times New Roman" w:hAnsi="Times New Roman" w:cs="Times New Roman"/>
          <w:kern w:val="0"/>
          <w:lang w:val="en-US" w:eastAsia="en-GB"/>
          <w14:ligatures w14:val="none"/>
        </w:rPr>
      </w:pPr>
      <w:r w:rsidRPr="00670221">
        <w:rPr>
          <w:rFonts w:ascii="Open Sans" w:eastAsia="Times New Roman" w:hAnsi="Open Sans" w:cs="Open Sans"/>
          <w:color w:val="000000"/>
          <w:kern w:val="0"/>
          <w:sz w:val="22"/>
          <w:szCs w:val="22"/>
          <w:bdr w:val="none" w:sz="0" w:space="0" w:color="auto" w:frame="1"/>
          <w:lang w:val="en-US" w:eastAsia="en-GB"/>
          <w14:ligatures w14:val="none"/>
        </w:rPr>
        <w:lastRenderedPageBreak/>
        <w:fldChar w:fldCharType="begin"/>
      </w:r>
      <w:r w:rsidRPr="00670221">
        <w:rPr>
          <w:rFonts w:ascii="Open Sans" w:eastAsia="Times New Roman" w:hAnsi="Open Sans" w:cs="Open Sans"/>
          <w:color w:val="000000"/>
          <w:kern w:val="0"/>
          <w:sz w:val="22"/>
          <w:szCs w:val="22"/>
          <w:bdr w:val="none" w:sz="0" w:space="0" w:color="auto" w:frame="1"/>
          <w:lang w:val="en-US" w:eastAsia="en-GB"/>
          <w14:ligatures w14:val="none"/>
        </w:rPr>
        <w:instrText xml:space="preserve"> INCLUDEPICTURE "https://lh7-qw.googleusercontent.com/docsz/AD_4nXfdfo_2Sjtd2DfIFeGf2nMOBS42sFkSCetyxMrN-Yv5KG8qJ1GGisCo-54cnKKMk2-NyNIlJviUl0P9UoDAmqb5FLrA3IugkzUlU8F36ZwPiDOzm1vmjtAOEG9hVeD7ZMk2aNRylgoZR91H-ri06Y2FeOvc?key=nognvAQonXwp9p-BDGrDBQ" \* MERGEFORMATINET </w:instrText>
      </w:r>
      <w:r w:rsidRPr="00670221">
        <w:rPr>
          <w:rFonts w:ascii="Open Sans" w:eastAsia="Times New Roman" w:hAnsi="Open Sans" w:cs="Open Sans"/>
          <w:color w:val="000000"/>
          <w:kern w:val="0"/>
          <w:sz w:val="22"/>
          <w:szCs w:val="22"/>
          <w:bdr w:val="none" w:sz="0" w:space="0" w:color="auto" w:frame="1"/>
          <w:lang w:val="en-US" w:eastAsia="en-GB"/>
          <w14:ligatures w14:val="none"/>
        </w:rPr>
        <w:fldChar w:fldCharType="separate"/>
      </w:r>
      <w:r w:rsidRPr="00670221">
        <w:rPr>
          <w:rFonts w:ascii="Open Sans" w:eastAsia="Times New Roman" w:hAnsi="Open Sans" w:cs="Open Sans"/>
          <w:noProof/>
          <w:color w:val="000000"/>
          <w:kern w:val="0"/>
          <w:sz w:val="22"/>
          <w:szCs w:val="22"/>
          <w:bdr w:val="none" w:sz="0" w:space="0" w:color="auto" w:frame="1"/>
          <w:lang w:val="en-US" w:eastAsia="en-GB"/>
          <w14:ligatures w14:val="none"/>
        </w:rPr>
        <w:drawing>
          <wp:inline distT="0" distB="0" distL="0" distR="0" wp14:anchorId="5CECFD59" wp14:editId="5C3C28FD">
            <wp:extent cx="5731510" cy="3197860"/>
            <wp:effectExtent l="0" t="0" r="0" b="2540"/>
            <wp:docPr id="427051810" name="Picture 20" descr="A white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1810" name="Picture 20" descr="A white and blue text on a white background&#10;&#10;Description automatically generated"/>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1510" cy="3197860"/>
                    </a:xfrm>
                    <a:prstGeom prst="rect">
                      <a:avLst/>
                    </a:prstGeom>
                    <a:noFill/>
                    <a:ln>
                      <a:noFill/>
                    </a:ln>
                  </pic:spPr>
                </pic:pic>
              </a:graphicData>
            </a:graphic>
          </wp:inline>
        </w:drawing>
      </w:r>
      <w:r w:rsidRPr="00670221">
        <w:rPr>
          <w:rFonts w:ascii="Open Sans" w:eastAsia="Times New Roman" w:hAnsi="Open Sans" w:cs="Open Sans"/>
          <w:color w:val="000000"/>
          <w:kern w:val="0"/>
          <w:sz w:val="22"/>
          <w:szCs w:val="22"/>
          <w:bdr w:val="none" w:sz="0" w:space="0" w:color="auto" w:frame="1"/>
          <w:lang w:val="en-US" w:eastAsia="en-GB"/>
          <w14:ligatures w14:val="none"/>
        </w:rPr>
        <w:fldChar w:fldCharType="end"/>
      </w:r>
    </w:p>
    <w:p w14:paraId="0878909B" w14:textId="77777777" w:rsidR="00ED3CD5" w:rsidRPr="00670221" w:rsidRDefault="00ED3CD5" w:rsidP="00ED3CD5">
      <w:pPr>
        <w:autoSpaceDE w:val="0"/>
        <w:autoSpaceDN w:val="0"/>
        <w:adjustRightInd w:val="0"/>
        <w:spacing w:before="0" w:after="0"/>
        <w:jc w:val="left"/>
        <w:rPr>
          <w:rFonts w:cstheme="minorHAnsi"/>
          <w:kern w:val="0"/>
          <w:lang w:val="en-US"/>
        </w:rPr>
      </w:pPr>
    </w:p>
    <w:p w14:paraId="14503818" w14:textId="77777777" w:rsidR="00ED3CD5" w:rsidRPr="00670221" w:rsidRDefault="00ED3CD5" w:rsidP="00ED3CD5">
      <w:pPr>
        <w:autoSpaceDE w:val="0"/>
        <w:autoSpaceDN w:val="0"/>
        <w:adjustRightInd w:val="0"/>
        <w:spacing w:before="0" w:after="0"/>
        <w:jc w:val="left"/>
        <w:rPr>
          <w:rFonts w:cstheme="minorHAnsi"/>
          <w:kern w:val="0"/>
          <w:lang w:val="en-US"/>
        </w:rPr>
      </w:pPr>
    </w:p>
    <w:p w14:paraId="7C92AEC0"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Questions:</w:t>
      </w:r>
    </w:p>
    <w:p w14:paraId="2246E733"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i/>
          <w:iCs/>
          <w:kern w:val="0"/>
          <w:lang w:val="en-US"/>
        </w:rPr>
        <w:t>How does CO2 electrolysis compare to traditional electrolysis?</w:t>
      </w:r>
    </w:p>
    <w:p w14:paraId="15205523"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kern w:val="0"/>
          <w:lang w:val="en-US"/>
        </w:rPr>
        <w:t>Energy efficiency of electro-chemical reduction of CO2 is currently behind RWGS, but no fundamental reason so expected to come down</w:t>
      </w:r>
    </w:p>
    <w:p w14:paraId="146EEFBE" w14:textId="77777777" w:rsidR="00ED3CD5" w:rsidRPr="00670221" w:rsidRDefault="00ED3CD5" w:rsidP="00ED3CD5">
      <w:pPr>
        <w:autoSpaceDE w:val="0"/>
        <w:autoSpaceDN w:val="0"/>
        <w:adjustRightInd w:val="0"/>
        <w:spacing w:before="0" w:after="0"/>
        <w:jc w:val="left"/>
        <w:rPr>
          <w:rFonts w:cstheme="minorHAnsi"/>
          <w:kern w:val="0"/>
          <w:lang w:val="en-US"/>
        </w:rPr>
      </w:pPr>
    </w:p>
    <w:p w14:paraId="7EEFFF32" w14:textId="77777777" w:rsidR="00ED3CD5" w:rsidRPr="00670221" w:rsidRDefault="00ED3CD5" w:rsidP="00ED3CD5">
      <w:pPr>
        <w:autoSpaceDE w:val="0"/>
        <w:autoSpaceDN w:val="0"/>
        <w:adjustRightInd w:val="0"/>
        <w:spacing w:before="0" w:after="0"/>
        <w:jc w:val="left"/>
        <w:rPr>
          <w:rFonts w:cstheme="minorHAnsi"/>
          <w:kern w:val="0"/>
          <w:lang w:val="en-US"/>
        </w:rPr>
      </w:pPr>
      <w:r w:rsidRPr="00670221">
        <w:rPr>
          <w:rFonts w:cstheme="minorHAnsi"/>
          <w:i/>
          <w:iCs/>
          <w:kern w:val="0"/>
          <w:lang w:val="en-US"/>
        </w:rPr>
        <w:t xml:space="preserve">Will </w:t>
      </w:r>
      <w:proofErr w:type="spellStart"/>
      <w:r w:rsidRPr="00670221">
        <w:rPr>
          <w:rFonts w:cstheme="minorHAnsi"/>
          <w:i/>
          <w:iCs/>
          <w:kern w:val="0"/>
          <w:lang w:val="en-US"/>
        </w:rPr>
        <w:t>eSAFs</w:t>
      </w:r>
      <w:proofErr w:type="spellEnd"/>
      <w:r w:rsidRPr="00670221">
        <w:rPr>
          <w:rFonts w:cstheme="minorHAnsi"/>
          <w:i/>
          <w:iCs/>
          <w:kern w:val="0"/>
          <w:lang w:val="en-US"/>
        </w:rPr>
        <w:t xml:space="preserve"> reach price parity in the upcoming 20 years?</w:t>
      </w:r>
    </w:p>
    <w:p w14:paraId="55914C6B" w14:textId="3D1730DF" w:rsidR="00504E14" w:rsidRPr="00670221" w:rsidRDefault="00ED3CD5" w:rsidP="00504E14">
      <w:pPr>
        <w:autoSpaceDE w:val="0"/>
        <w:autoSpaceDN w:val="0"/>
        <w:adjustRightInd w:val="0"/>
        <w:spacing w:before="0" w:after="0"/>
        <w:jc w:val="left"/>
        <w:rPr>
          <w:rFonts w:cstheme="minorHAnsi"/>
          <w:kern w:val="0"/>
          <w:lang w:val="en-US"/>
        </w:rPr>
      </w:pPr>
      <w:r w:rsidRPr="00670221">
        <w:rPr>
          <w:rFonts w:cstheme="minorHAnsi"/>
          <w:kern w:val="0"/>
          <w:lang w:val="en-US"/>
        </w:rPr>
        <w:t xml:space="preserve">Not trying to reach price imparity because fossil jet fuel subsidized: no carbon tax so </w:t>
      </w:r>
      <w:proofErr w:type="gramStart"/>
      <w:r w:rsidRPr="00670221">
        <w:rPr>
          <w:rFonts w:cstheme="minorHAnsi"/>
          <w:kern w:val="0"/>
          <w:lang w:val="en-US"/>
        </w:rPr>
        <w:t>try</w:t>
      </w:r>
      <w:proofErr w:type="gramEnd"/>
      <w:r w:rsidRPr="00670221">
        <w:rPr>
          <w:rFonts w:cstheme="minorHAnsi"/>
          <w:kern w:val="0"/>
          <w:lang w:val="en-US"/>
        </w:rPr>
        <w:t xml:space="preserve"> to reach level of jet fuel price + carbon tax</w:t>
      </w:r>
      <w:r w:rsidR="00504E14" w:rsidRPr="00670221">
        <w:rPr>
          <w:rFonts w:cstheme="minorHAnsi"/>
          <w:kern w:val="0"/>
          <w:lang w:val="en-US"/>
        </w:rPr>
        <w:br w:type="page"/>
      </w:r>
    </w:p>
    <w:p w14:paraId="0B3FA691" w14:textId="77777777" w:rsidR="00504E14" w:rsidRPr="00670221" w:rsidRDefault="00504E14" w:rsidP="00504E14">
      <w:pPr>
        <w:autoSpaceDE w:val="0"/>
        <w:autoSpaceDN w:val="0"/>
        <w:adjustRightInd w:val="0"/>
        <w:spacing w:before="0" w:after="0"/>
        <w:jc w:val="left"/>
        <w:rPr>
          <w:rFonts w:cstheme="minorHAnsi"/>
          <w:kern w:val="0"/>
          <w:lang w:val="en-US"/>
        </w:rPr>
        <w:sectPr w:rsidR="00504E14" w:rsidRPr="00670221" w:rsidSect="00504E14">
          <w:pgSz w:w="11906" w:h="16838"/>
          <w:pgMar w:top="1440" w:right="1440" w:bottom="1440" w:left="1440" w:header="708" w:footer="708" w:gutter="0"/>
          <w:cols w:space="708"/>
          <w:docGrid w:linePitch="360"/>
        </w:sectPr>
      </w:pPr>
    </w:p>
    <w:p w14:paraId="689084B3" w14:textId="4B43AF9D" w:rsidR="00237EEC" w:rsidRPr="00670221" w:rsidRDefault="00504E14" w:rsidP="00504E14">
      <w:pPr>
        <w:autoSpaceDE w:val="0"/>
        <w:autoSpaceDN w:val="0"/>
        <w:adjustRightInd w:val="0"/>
        <w:spacing w:before="0" w:after="0"/>
        <w:jc w:val="left"/>
        <w:rPr>
          <w:rFonts w:cstheme="minorHAnsi"/>
          <w:kern w:val="0"/>
          <w:lang w:val="en-US"/>
        </w:rPr>
      </w:pPr>
      <w:r w:rsidRPr="00670221">
        <w:rPr>
          <w:rFonts w:cstheme="minorHAnsi"/>
          <w:b/>
          <w:bCs/>
          <w:kern w:val="0"/>
          <w:lang w:val="en-US"/>
        </w:rPr>
        <w:lastRenderedPageBreak/>
        <w:t>Appendix G</w:t>
      </w:r>
      <w:r w:rsidRPr="00670221">
        <w:rPr>
          <w:rFonts w:cstheme="minorHAnsi"/>
          <w:kern w:val="0"/>
          <w:lang w:val="en-US"/>
        </w:rPr>
        <w:t xml:space="preserve">: Pivot table containing announced </w:t>
      </w:r>
      <w:proofErr w:type="spellStart"/>
      <w:r w:rsidRPr="00670221">
        <w:rPr>
          <w:rFonts w:cstheme="minorHAnsi"/>
          <w:kern w:val="0"/>
          <w:lang w:val="en-US"/>
        </w:rPr>
        <w:t>eSAF</w:t>
      </w:r>
      <w:proofErr w:type="spellEnd"/>
      <w:r w:rsidRPr="00670221">
        <w:rPr>
          <w:rFonts w:cstheme="minorHAnsi"/>
          <w:kern w:val="0"/>
          <w:lang w:val="en-US"/>
        </w:rPr>
        <w:t xml:space="preserve"> project</w:t>
      </w:r>
      <w:r w:rsidR="0051752E" w:rsidRPr="00670221">
        <w:rPr>
          <w:rFonts w:cstheme="minorHAnsi"/>
          <w:kern w:val="0"/>
          <w:lang w:val="en-US"/>
        </w:rPr>
        <w:t xml:space="preserve"> </w:t>
      </w:r>
      <w:r w:rsidRPr="00670221">
        <w:rPr>
          <w:rFonts w:cstheme="minorHAnsi"/>
          <w:kern w:val="0"/>
          <w:lang w:val="en-US"/>
        </w:rPr>
        <w:t>data in Europe.</w:t>
      </w:r>
    </w:p>
    <w:p w14:paraId="5053D6FA" w14:textId="77777777" w:rsidR="00504E14" w:rsidRPr="00670221" w:rsidRDefault="00504E14" w:rsidP="00504E14">
      <w:pPr>
        <w:autoSpaceDE w:val="0"/>
        <w:autoSpaceDN w:val="0"/>
        <w:adjustRightInd w:val="0"/>
        <w:spacing w:before="0" w:after="0"/>
        <w:jc w:val="left"/>
        <w:rPr>
          <w:rFonts w:cstheme="minorHAnsi"/>
          <w:kern w:val="0"/>
          <w:lang w:val="en-US"/>
        </w:rPr>
      </w:pPr>
    </w:p>
    <w:tbl>
      <w:tblPr>
        <w:tblW w:w="14385" w:type="dxa"/>
        <w:tblLook w:val="04A0" w:firstRow="1" w:lastRow="0" w:firstColumn="1" w:lastColumn="0" w:noHBand="0" w:noVBand="1"/>
      </w:tblPr>
      <w:tblGrid>
        <w:gridCol w:w="2421"/>
        <w:gridCol w:w="863"/>
        <w:gridCol w:w="1579"/>
        <w:gridCol w:w="1045"/>
        <w:gridCol w:w="1248"/>
        <w:gridCol w:w="1317"/>
        <w:gridCol w:w="1266"/>
        <w:gridCol w:w="1598"/>
        <w:gridCol w:w="1310"/>
        <w:gridCol w:w="1445"/>
        <w:gridCol w:w="921"/>
      </w:tblGrid>
      <w:tr w:rsidR="00504E14" w:rsidRPr="00670221" w14:paraId="5E115802" w14:textId="77777777" w:rsidTr="00A45788">
        <w:trPr>
          <w:trHeight w:val="243"/>
        </w:trPr>
        <w:tc>
          <w:tcPr>
            <w:tcW w:w="2421" w:type="dxa"/>
            <w:tcBorders>
              <w:top w:val="nil"/>
              <w:left w:val="nil"/>
              <w:bottom w:val="nil"/>
              <w:right w:val="nil"/>
            </w:tcBorders>
            <w:shd w:val="clear" w:color="C0E6F5" w:fill="C0E6F5"/>
            <w:noWrap/>
            <w:vAlign w:val="bottom"/>
            <w:hideMark/>
          </w:tcPr>
          <w:p w14:paraId="24F76351"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Count of project</w:t>
            </w:r>
          </w:p>
        </w:tc>
        <w:tc>
          <w:tcPr>
            <w:tcW w:w="2341" w:type="dxa"/>
            <w:gridSpan w:val="2"/>
            <w:tcBorders>
              <w:top w:val="nil"/>
              <w:left w:val="nil"/>
              <w:bottom w:val="nil"/>
              <w:right w:val="nil"/>
            </w:tcBorders>
            <w:shd w:val="clear" w:color="C0E6F5" w:fill="C0E6F5"/>
            <w:noWrap/>
            <w:vAlign w:val="bottom"/>
            <w:hideMark/>
          </w:tcPr>
          <w:p w14:paraId="41A9DE89"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Column Labels</w:t>
            </w:r>
          </w:p>
        </w:tc>
        <w:tc>
          <w:tcPr>
            <w:tcW w:w="990" w:type="dxa"/>
            <w:tcBorders>
              <w:top w:val="nil"/>
              <w:left w:val="nil"/>
              <w:bottom w:val="nil"/>
              <w:right w:val="nil"/>
            </w:tcBorders>
            <w:shd w:val="clear" w:color="C0E6F5" w:fill="C0E6F5"/>
            <w:noWrap/>
            <w:vAlign w:val="bottom"/>
            <w:hideMark/>
          </w:tcPr>
          <w:p w14:paraId="2CCB0BE2"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p>
        </w:tc>
        <w:tc>
          <w:tcPr>
            <w:tcW w:w="1178" w:type="dxa"/>
            <w:tcBorders>
              <w:top w:val="nil"/>
              <w:left w:val="nil"/>
              <w:bottom w:val="nil"/>
              <w:right w:val="nil"/>
            </w:tcBorders>
            <w:shd w:val="clear" w:color="C0E6F5" w:fill="C0E6F5"/>
            <w:noWrap/>
            <w:vAlign w:val="bottom"/>
            <w:hideMark/>
          </w:tcPr>
          <w:p w14:paraId="049395FA" w14:textId="77777777" w:rsidR="00504E14" w:rsidRPr="00670221" w:rsidRDefault="00504E14" w:rsidP="00504E14">
            <w:pPr>
              <w:spacing w:before="0" w:after="0"/>
              <w:jc w:val="left"/>
              <w:rPr>
                <w:rFonts w:ascii="Times New Roman" w:eastAsia="Times New Roman" w:hAnsi="Times New Roman" w:cs="Times New Roman"/>
                <w:kern w:val="0"/>
                <w:sz w:val="20"/>
                <w:szCs w:val="20"/>
                <w:lang w:val="en-US" w:eastAsia="en-GB"/>
                <w14:ligatures w14:val="none"/>
              </w:rPr>
            </w:pPr>
          </w:p>
        </w:tc>
        <w:tc>
          <w:tcPr>
            <w:tcW w:w="1242" w:type="dxa"/>
            <w:tcBorders>
              <w:top w:val="nil"/>
              <w:left w:val="nil"/>
              <w:bottom w:val="nil"/>
              <w:right w:val="nil"/>
            </w:tcBorders>
            <w:shd w:val="clear" w:color="C0E6F5" w:fill="C0E6F5"/>
            <w:noWrap/>
            <w:vAlign w:val="bottom"/>
            <w:hideMark/>
          </w:tcPr>
          <w:p w14:paraId="2CED4621" w14:textId="77777777" w:rsidR="00504E14" w:rsidRPr="00670221" w:rsidRDefault="00504E14" w:rsidP="00504E14">
            <w:pPr>
              <w:spacing w:before="0" w:after="0"/>
              <w:jc w:val="left"/>
              <w:rPr>
                <w:rFonts w:ascii="Times New Roman" w:eastAsia="Times New Roman" w:hAnsi="Times New Roman" w:cs="Times New Roman"/>
                <w:kern w:val="0"/>
                <w:sz w:val="20"/>
                <w:szCs w:val="20"/>
                <w:lang w:val="en-US" w:eastAsia="en-GB"/>
                <w14:ligatures w14:val="none"/>
              </w:rPr>
            </w:pPr>
          </w:p>
        </w:tc>
        <w:tc>
          <w:tcPr>
            <w:tcW w:w="1194" w:type="dxa"/>
            <w:tcBorders>
              <w:top w:val="nil"/>
              <w:left w:val="nil"/>
              <w:bottom w:val="nil"/>
              <w:right w:val="nil"/>
            </w:tcBorders>
            <w:shd w:val="clear" w:color="C0E6F5" w:fill="C0E6F5"/>
            <w:noWrap/>
            <w:vAlign w:val="bottom"/>
            <w:hideMark/>
          </w:tcPr>
          <w:p w14:paraId="25A81D35" w14:textId="77777777" w:rsidR="00504E14" w:rsidRPr="00670221" w:rsidRDefault="00504E14" w:rsidP="00504E14">
            <w:pPr>
              <w:spacing w:before="0" w:after="0"/>
              <w:jc w:val="left"/>
              <w:rPr>
                <w:rFonts w:ascii="Times New Roman" w:eastAsia="Times New Roman" w:hAnsi="Times New Roman" w:cs="Times New Roman"/>
                <w:kern w:val="0"/>
                <w:sz w:val="20"/>
                <w:szCs w:val="20"/>
                <w:lang w:val="en-US" w:eastAsia="en-GB"/>
                <w14:ligatures w14:val="none"/>
              </w:rPr>
            </w:pPr>
          </w:p>
        </w:tc>
        <w:tc>
          <w:tcPr>
            <w:tcW w:w="1502" w:type="dxa"/>
            <w:tcBorders>
              <w:top w:val="nil"/>
              <w:left w:val="nil"/>
              <w:bottom w:val="nil"/>
              <w:right w:val="nil"/>
            </w:tcBorders>
            <w:shd w:val="clear" w:color="C0E6F5" w:fill="C0E6F5"/>
            <w:noWrap/>
            <w:vAlign w:val="bottom"/>
            <w:hideMark/>
          </w:tcPr>
          <w:p w14:paraId="3D753D17" w14:textId="77777777" w:rsidR="00504E14" w:rsidRPr="00670221" w:rsidRDefault="00504E14" w:rsidP="00504E14">
            <w:pPr>
              <w:spacing w:before="0" w:after="0"/>
              <w:jc w:val="left"/>
              <w:rPr>
                <w:rFonts w:ascii="Times New Roman" w:eastAsia="Times New Roman" w:hAnsi="Times New Roman" w:cs="Times New Roman"/>
                <w:kern w:val="0"/>
                <w:sz w:val="20"/>
                <w:szCs w:val="20"/>
                <w:lang w:val="en-US" w:eastAsia="en-GB"/>
                <w14:ligatures w14:val="none"/>
              </w:rPr>
            </w:pPr>
          </w:p>
        </w:tc>
        <w:tc>
          <w:tcPr>
            <w:tcW w:w="1236" w:type="dxa"/>
            <w:tcBorders>
              <w:top w:val="nil"/>
              <w:left w:val="nil"/>
              <w:bottom w:val="nil"/>
              <w:right w:val="nil"/>
            </w:tcBorders>
            <w:shd w:val="clear" w:color="C0E6F5" w:fill="C0E6F5"/>
            <w:noWrap/>
            <w:vAlign w:val="bottom"/>
            <w:hideMark/>
          </w:tcPr>
          <w:p w14:paraId="55B57618" w14:textId="77777777" w:rsidR="00504E14" w:rsidRPr="00670221" w:rsidRDefault="00504E14" w:rsidP="00504E14">
            <w:pPr>
              <w:spacing w:before="0" w:after="0"/>
              <w:jc w:val="left"/>
              <w:rPr>
                <w:rFonts w:ascii="Times New Roman" w:eastAsia="Times New Roman" w:hAnsi="Times New Roman" w:cs="Times New Roman"/>
                <w:kern w:val="0"/>
                <w:sz w:val="20"/>
                <w:szCs w:val="20"/>
                <w:lang w:val="en-US" w:eastAsia="en-GB"/>
                <w14:ligatures w14:val="none"/>
              </w:rPr>
            </w:pPr>
          </w:p>
        </w:tc>
        <w:tc>
          <w:tcPr>
            <w:tcW w:w="1360" w:type="dxa"/>
            <w:tcBorders>
              <w:top w:val="nil"/>
              <w:left w:val="nil"/>
              <w:bottom w:val="nil"/>
              <w:right w:val="nil"/>
            </w:tcBorders>
            <w:shd w:val="clear" w:color="C0E6F5" w:fill="C0E6F5"/>
            <w:noWrap/>
            <w:vAlign w:val="bottom"/>
            <w:hideMark/>
          </w:tcPr>
          <w:p w14:paraId="2D804F49" w14:textId="77777777" w:rsidR="00504E14" w:rsidRPr="00670221" w:rsidRDefault="00504E14" w:rsidP="00504E14">
            <w:pPr>
              <w:spacing w:before="0" w:after="0"/>
              <w:jc w:val="left"/>
              <w:rPr>
                <w:rFonts w:ascii="Times New Roman" w:eastAsia="Times New Roman" w:hAnsi="Times New Roman" w:cs="Times New Roman"/>
                <w:kern w:val="0"/>
                <w:sz w:val="20"/>
                <w:szCs w:val="20"/>
                <w:lang w:val="en-US" w:eastAsia="en-GB"/>
                <w14:ligatures w14:val="none"/>
              </w:rPr>
            </w:pPr>
          </w:p>
        </w:tc>
        <w:tc>
          <w:tcPr>
            <w:tcW w:w="921" w:type="dxa"/>
            <w:tcBorders>
              <w:top w:val="nil"/>
              <w:left w:val="nil"/>
              <w:bottom w:val="nil"/>
              <w:right w:val="nil"/>
            </w:tcBorders>
            <w:shd w:val="clear" w:color="C0E6F5" w:fill="C0E6F5"/>
            <w:noWrap/>
            <w:vAlign w:val="bottom"/>
            <w:hideMark/>
          </w:tcPr>
          <w:p w14:paraId="2E6E71D2" w14:textId="77777777" w:rsidR="00504E14" w:rsidRPr="00670221" w:rsidRDefault="00504E14" w:rsidP="00504E14">
            <w:pPr>
              <w:spacing w:before="0" w:after="0"/>
              <w:jc w:val="left"/>
              <w:rPr>
                <w:rFonts w:ascii="Times New Roman" w:eastAsia="Times New Roman" w:hAnsi="Times New Roman" w:cs="Times New Roman"/>
                <w:kern w:val="0"/>
                <w:sz w:val="20"/>
                <w:szCs w:val="20"/>
                <w:lang w:val="en-US" w:eastAsia="en-GB"/>
                <w14:ligatures w14:val="none"/>
              </w:rPr>
            </w:pPr>
          </w:p>
        </w:tc>
      </w:tr>
      <w:tr w:rsidR="00504E14" w:rsidRPr="00670221" w14:paraId="49D3A491" w14:textId="77777777" w:rsidTr="00A45788">
        <w:trPr>
          <w:trHeight w:val="1041"/>
        </w:trPr>
        <w:tc>
          <w:tcPr>
            <w:tcW w:w="2421" w:type="dxa"/>
            <w:tcBorders>
              <w:top w:val="nil"/>
              <w:left w:val="nil"/>
              <w:bottom w:val="single" w:sz="4" w:space="0" w:color="44B3E1"/>
              <w:right w:val="nil"/>
            </w:tcBorders>
            <w:shd w:val="clear" w:color="C0E6F5" w:fill="C0E6F5"/>
            <w:vAlign w:val="bottom"/>
            <w:hideMark/>
          </w:tcPr>
          <w:p w14:paraId="5A6A32F2" w14:textId="77777777" w:rsidR="00504E14" w:rsidRPr="00670221" w:rsidRDefault="00504E14" w:rsidP="00A45788">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Row Labels</w:t>
            </w:r>
          </w:p>
        </w:tc>
        <w:tc>
          <w:tcPr>
            <w:tcW w:w="856" w:type="dxa"/>
            <w:tcBorders>
              <w:top w:val="nil"/>
              <w:left w:val="nil"/>
              <w:bottom w:val="single" w:sz="4" w:space="0" w:color="44B3E1"/>
              <w:right w:val="nil"/>
            </w:tcBorders>
            <w:shd w:val="clear" w:color="C0E6F5" w:fill="C0E6F5"/>
            <w:vAlign w:val="bottom"/>
            <w:hideMark/>
          </w:tcPr>
          <w:p w14:paraId="37314F2C"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Airline</w:t>
            </w:r>
          </w:p>
        </w:tc>
        <w:tc>
          <w:tcPr>
            <w:tcW w:w="1484" w:type="dxa"/>
            <w:tcBorders>
              <w:top w:val="nil"/>
              <w:left w:val="nil"/>
              <w:bottom w:val="single" w:sz="4" w:space="0" w:color="44B3E1"/>
              <w:right w:val="nil"/>
            </w:tcBorders>
            <w:shd w:val="clear" w:color="C0E6F5" w:fill="C0E6F5"/>
            <w:vAlign w:val="bottom"/>
            <w:hideMark/>
          </w:tcPr>
          <w:p w14:paraId="79B71BFB"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proofErr w:type="spellStart"/>
            <w:r w:rsidRPr="00670221">
              <w:rPr>
                <w:rFonts w:ascii="Aptos Narrow" w:eastAsia="Times New Roman" w:hAnsi="Aptos Narrow" w:cs="Times New Roman"/>
                <w:b/>
                <w:bCs/>
                <w:color w:val="000000"/>
                <w:kern w:val="0"/>
                <w:lang w:val="en-US" w:eastAsia="en-GB"/>
                <w14:ligatures w14:val="none"/>
              </w:rPr>
              <w:t>Electrolyzer</w:t>
            </w:r>
            <w:proofErr w:type="spellEnd"/>
            <w:r w:rsidRPr="00670221">
              <w:rPr>
                <w:rFonts w:ascii="Aptos Narrow" w:eastAsia="Times New Roman" w:hAnsi="Aptos Narrow" w:cs="Times New Roman"/>
                <w:b/>
                <w:bCs/>
                <w:color w:val="000000"/>
                <w:kern w:val="0"/>
                <w:lang w:val="en-US" w:eastAsia="en-GB"/>
                <w14:ligatures w14:val="none"/>
              </w:rPr>
              <w:t xml:space="preserve"> manufacturer</w:t>
            </w:r>
          </w:p>
        </w:tc>
        <w:tc>
          <w:tcPr>
            <w:tcW w:w="990" w:type="dxa"/>
            <w:tcBorders>
              <w:top w:val="nil"/>
              <w:left w:val="nil"/>
              <w:bottom w:val="single" w:sz="4" w:space="0" w:color="44B3E1"/>
              <w:right w:val="nil"/>
            </w:tcBorders>
            <w:shd w:val="clear" w:color="C0E6F5" w:fill="C0E6F5"/>
            <w:vAlign w:val="bottom"/>
            <w:hideMark/>
          </w:tcPr>
          <w:p w14:paraId="00B95397"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Energy provider</w:t>
            </w:r>
          </w:p>
        </w:tc>
        <w:tc>
          <w:tcPr>
            <w:tcW w:w="1178" w:type="dxa"/>
            <w:tcBorders>
              <w:top w:val="nil"/>
              <w:left w:val="nil"/>
              <w:bottom w:val="single" w:sz="4" w:space="0" w:color="44B3E1"/>
              <w:right w:val="nil"/>
            </w:tcBorders>
            <w:shd w:val="clear" w:color="C0E6F5" w:fill="C0E6F5"/>
            <w:vAlign w:val="bottom"/>
            <w:hideMark/>
          </w:tcPr>
          <w:p w14:paraId="60C86E71"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Feedstock supplier</w:t>
            </w:r>
          </w:p>
        </w:tc>
        <w:tc>
          <w:tcPr>
            <w:tcW w:w="1242" w:type="dxa"/>
            <w:tcBorders>
              <w:top w:val="nil"/>
              <w:left w:val="nil"/>
              <w:bottom w:val="single" w:sz="4" w:space="0" w:color="44B3E1"/>
              <w:right w:val="nil"/>
            </w:tcBorders>
            <w:shd w:val="clear" w:color="C0E6F5" w:fill="C0E6F5"/>
            <w:vAlign w:val="bottom"/>
            <w:hideMark/>
          </w:tcPr>
          <w:p w14:paraId="0441D3CD"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Fuel conversion technology provider</w:t>
            </w:r>
          </w:p>
        </w:tc>
        <w:tc>
          <w:tcPr>
            <w:tcW w:w="1194" w:type="dxa"/>
            <w:tcBorders>
              <w:top w:val="nil"/>
              <w:left w:val="nil"/>
              <w:bottom w:val="single" w:sz="4" w:space="0" w:color="44B3E1"/>
              <w:right w:val="nil"/>
            </w:tcBorders>
            <w:shd w:val="clear" w:color="C0E6F5" w:fill="C0E6F5"/>
            <w:vAlign w:val="bottom"/>
            <w:hideMark/>
          </w:tcPr>
          <w:p w14:paraId="6C6709E1"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Fuel distributor</w:t>
            </w:r>
          </w:p>
        </w:tc>
        <w:tc>
          <w:tcPr>
            <w:tcW w:w="1502" w:type="dxa"/>
            <w:tcBorders>
              <w:top w:val="nil"/>
              <w:left w:val="nil"/>
              <w:bottom w:val="single" w:sz="4" w:space="0" w:color="44B3E1"/>
              <w:right w:val="nil"/>
            </w:tcBorders>
            <w:shd w:val="clear" w:color="C0E6F5" w:fill="C0E6F5"/>
            <w:vAlign w:val="bottom"/>
            <w:hideMark/>
          </w:tcPr>
          <w:p w14:paraId="47F2F599"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Infrastructure</w:t>
            </w:r>
          </w:p>
        </w:tc>
        <w:tc>
          <w:tcPr>
            <w:tcW w:w="1236" w:type="dxa"/>
            <w:tcBorders>
              <w:top w:val="nil"/>
              <w:left w:val="nil"/>
              <w:bottom w:val="single" w:sz="4" w:space="0" w:color="44B3E1"/>
              <w:right w:val="nil"/>
            </w:tcBorders>
            <w:shd w:val="clear" w:color="C0E6F5" w:fill="C0E6F5"/>
            <w:vAlign w:val="bottom"/>
            <w:hideMark/>
          </w:tcPr>
          <w:p w14:paraId="4EC4C7F9"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Knowledge institute</w:t>
            </w:r>
          </w:p>
        </w:tc>
        <w:tc>
          <w:tcPr>
            <w:tcW w:w="1360" w:type="dxa"/>
            <w:tcBorders>
              <w:top w:val="nil"/>
              <w:left w:val="nil"/>
              <w:bottom w:val="single" w:sz="4" w:space="0" w:color="44B3E1"/>
              <w:right w:val="nil"/>
            </w:tcBorders>
            <w:shd w:val="clear" w:color="C0E6F5" w:fill="C0E6F5"/>
            <w:vAlign w:val="bottom"/>
            <w:hideMark/>
          </w:tcPr>
          <w:p w14:paraId="6E3869AE"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Supporting organization</w:t>
            </w:r>
          </w:p>
        </w:tc>
        <w:tc>
          <w:tcPr>
            <w:tcW w:w="921" w:type="dxa"/>
            <w:tcBorders>
              <w:top w:val="nil"/>
              <w:left w:val="nil"/>
              <w:bottom w:val="single" w:sz="4" w:space="0" w:color="44B3E1"/>
              <w:right w:val="nil"/>
            </w:tcBorders>
            <w:shd w:val="clear" w:color="C0E6F5" w:fill="C0E6F5"/>
            <w:vAlign w:val="bottom"/>
            <w:hideMark/>
          </w:tcPr>
          <w:p w14:paraId="053B2A55"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Grand Total</w:t>
            </w:r>
          </w:p>
        </w:tc>
      </w:tr>
      <w:tr w:rsidR="00504E14" w:rsidRPr="00670221" w14:paraId="07B90D8F" w14:textId="77777777" w:rsidTr="00A45788">
        <w:trPr>
          <w:trHeight w:val="243"/>
        </w:trPr>
        <w:tc>
          <w:tcPr>
            <w:tcW w:w="2421" w:type="dxa"/>
            <w:tcBorders>
              <w:top w:val="nil"/>
              <w:left w:val="nil"/>
              <w:bottom w:val="nil"/>
              <w:right w:val="nil"/>
            </w:tcBorders>
            <w:shd w:val="clear" w:color="auto" w:fill="auto"/>
            <w:noWrap/>
            <w:vAlign w:val="bottom"/>
            <w:hideMark/>
          </w:tcPr>
          <w:p w14:paraId="575D3686"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Airline</w:t>
            </w:r>
          </w:p>
        </w:tc>
        <w:tc>
          <w:tcPr>
            <w:tcW w:w="856" w:type="dxa"/>
            <w:tcBorders>
              <w:top w:val="nil"/>
              <w:left w:val="nil"/>
              <w:bottom w:val="nil"/>
              <w:right w:val="nil"/>
            </w:tcBorders>
            <w:shd w:val="clear" w:color="auto" w:fill="auto"/>
            <w:noWrap/>
            <w:vAlign w:val="bottom"/>
            <w:hideMark/>
          </w:tcPr>
          <w:p w14:paraId="2E01A971"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22</w:t>
            </w:r>
          </w:p>
        </w:tc>
        <w:tc>
          <w:tcPr>
            <w:tcW w:w="1484" w:type="dxa"/>
            <w:tcBorders>
              <w:top w:val="nil"/>
              <w:left w:val="nil"/>
              <w:bottom w:val="nil"/>
              <w:right w:val="nil"/>
            </w:tcBorders>
            <w:shd w:val="clear" w:color="auto" w:fill="auto"/>
            <w:noWrap/>
            <w:vAlign w:val="bottom"/>
            <w:hideMark/>
          </w:tcPr>
          <w:p w14:paraId="10CE2A12"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7</w:t>
            </w:r>
          </w:p>
        </w:tc>
        <w:tc>
          <w:tcPr>
            <w:tcW w:w="990" w:type="dxa"/>
            <w:tcBorders>
              <w:top w:val="nil"/>
              <w:left w:val="nil"/>
              <w:bottom w:val="nil"/>
              <w:right w:val="nil"/>
            </w:tcBorders>
            <w:shd w:val="clear" w:color="auto" w:fill="auto"/>
            <w:noWrap/>
            <w:vAlign w:val="bottom"/>
            <w:hideMark/>
          </w:tcPr>
          <w:p w14:paraId="5030BC18"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14</w:t>
            </w:r>
          </w:p>
        </w:tc>
        <w:tc>
          <w:tcPr>
            <w:tcW w:w="1178" w:type="dxa"/>
            <w:tcBorders>
              <w:top w:val="nil"/>
              <w:left w:val="nil"/>
              <w:bottom w:val="nil"/>
              <w:right w:val="nil"/>
            </w:tcBorders>
            <w:shd w:val="clear" w:color="auto" w:fill="auto"/>
            <w:noWrap/>
            <w:vAlign w:val="bottom"/>
            <w:hideMark/>
          </w:tcPr>
          <w:p w14:paraId="78ACD076"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242" w:type="dxa"/>
            <w:tcBorders>
              <w:top w:val="nil"/>
              <w:left w:val="nil"/>
              <w:bottom w:val="nil"/>
              <w:right w:val="nil"/>
            </w:tcBorders>
            <w:shd w:val="clear" w:color="auto" w:fill="auto"/>
            <w:noWrap/>
            <w:vAlign w:val="bottom"/>
            <w:hideMark/>
          </w:tcPr>
          <w:p w14:paraId="18C646B7"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13</w:t>
            </w:r>
          </w:p>
        </w:tc>
        <w:tc>
          <w:tcPr>
            <w:tcW w:w="1194" w:type="dxa"/>
            <w:tcBorders>
              <w:top w:val="nil"/>
              <w:left w:val="nil"/>
              <w:bottom w:val="nil"/>
              <w:right w:val="nil"/>
            </w:tcBorders>
            <w:shd w:val="clear" w:color="auto" w:fill="auto"/>
            <w:noWrap/>
            <w:vAlign w:val="bottom"/>
            <w:hideMark/>
          </w:tcPr>
          <w:p w14:paraId="09939A19"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1502" w:type="dxa"/>
            <w:tcBorders>
              <w:top w:val="nil"/>
              <w:left w:val="nil"/>
              <w:bottom w:val="nil"/>
              <w:right w:val="nil"/>
            </w:tcBorders>
            <w:shd w:val="clear" w:color="auto" w:fill="auto"/>
            <w:noWrap/>
            <w:vAlign w:val="bottom"/>
            <w:hideMark/>
          </w:tcPr>
          <w:p w14:paraId="7E8B6CB9"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13</w:t>
            </w:r>
          </w:p>
        </w:tc>
        <w:tc>
          <w:tcPr>
            <w:tcW w:w="1236" w:type="dxa"/>
            <w:tcBorders>
              <w:top w:val="nil"/>
              <w:left w:val="nil"/>
              <w:bottom w:val="nil"/>
              <w:right w:val="nil"/>
            </w:tcBorders>
            <w:shd w:val="clear" w:color="auto" w:fill="auto"/>
            <w:noWrap/>
            <w:vAlign w:val="bottom"/>
            <w:hideMark/>
          </w:tcPr>
          <w:p w14:paraId="45D6E586"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w:t>
            </w:r>
          </w:p>
        </w:tc>
        <w:tc>
          <w:tcPr>
            <w:tcW w:w="1360" w:type="dxa"/>
            <w:tcBorders>
              <w:top w:val="nil"/>
              <w:left w:val="nil"/>
              <w:bottom w:val="nil"/>
              <w:right w:val="nil"/>
            </w:tcBorders>
            <w:shd w:val="clear" w:color="auto" w:fill="auto"/>
            <w:noWrap/>
            <w:vAlign w:val="bottom"/>
            <w:hideMark/>
          </w:tcPr>
          <w:p w14:paraId="60302A4F"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w:t>
            </w:r>
          </w:p>
        </w:tc>
        <w:tc>
          <w:tcPr>
            <w:tcW w:w="921" w:type="dxa"/>
            <w:tcBorders>
              <w:top w:val="nil"/>
              <w:left w:val="nil"/>
              <w:bottom w:val="nil"/>
              <w:right w:val="nil"/>
            </w:tcBorders>
            <w:shd w:val="clear" w:color="auto" w:fill="auto"/>
            <w:noWrap/>
            <w:vAlign w:val="bottom"/>
            <w:hideMark/>
          </w:tcPr>
          <w:p w14:paraId="32D3F05E"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80</w:t>
            </w:r>
          </w:p>
        </w:tc>
      </w:tr>
      <w:tr w:rsidR="00504E14" w:rsidRPr="00670221" w14:paraId="77AC1232" w14:textId="77777777" w:rsidTr="00A45788">
        <w:trPr>
          <w:trHeight w:val="243"/>
        </w:trPr>
        <w:tc>
          <w:tcPr>
            <w:tcW w:w="2421" w:type="dxa"/>
            <w:tcBorders>
              <w:top w:val="nil"/>
              <w:left w:val="nil"/>
              <w:bottom w:val="nil"/>
              <w:right w:val="nil"/>
            </w:tcBorders>
            <w:shd w:val="clear" w:color="auto" w:fill="auto"/>
            <w:noWrap/>
            <w:vAlign w:val="bottom"/>
            <w:hideMark/>
          </w:tcPr>
          <w:p w14:paraId="6149DE65"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proofErr w:type="spellStart"/>
            <w:r w:rsidRPr="00670221">
              <w:rPr>
                <w:rFonts w:ascii="Aptos Narrow" w:eastAsia="Times New Roman" w:hAnsi="Aptos Narrow" w:cs="Times New Roman"/>
                <w:color w:val="000000"/>
                <w:kern w:val="0"/>
                <w:lang w:val="en-US" w:eastAsia="en-GB"/>
                <w14:ligatures w14:val="none"/>
              </w:rPr>
              <w:t>Electrolyzer</w:t>
            </w:r>
            <w:proofErr w:type="spellEnd"/>
            <w:r w:rsidRPr="00670221">
              <w:rPr>
                <w:rFonts w:ascii="Aptos Narrow" w:eastAsia="Times New Roman" w:hAnsi="Aptos Narrow" w:cs="Times New Roman"/>
                <w:color w:val="000000"/>
                <w:kern w:val="0"/>
                <w:lang w:val="en-US" w:eastAsia="en-GB"/>
                <w14:ligatures w14:val="none"/>
              </w:rPr>
              <w:t xml:space="preserve"> manufacturer</w:t>
            </w:r>
          </w:p>
        </w:tc>
        <w:tc>
          <w:tcPr>
            <w:tcW w:w="856" w:type="dxa"/>
            <w:tcBorders>
              <w:top w:val="nil"/>
              <w:left w:val="nil"/>
              <w:bottom w:val="nil"/>
              <w:right w:val="nil"/>
            </w:tcBorders>
            <w:shd w:val="clear" w:color="auto" w:fill="auto"/>
            <w:noWrap/>
            <w:vAlign w:val="bottom"/>
            <w:hideMark/>
          </w:tcPr>
          <w:p w14:paraId="69E5B26A"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7</w:t>
            </w:r>
          </w:p>
        </w:tc>
        <w:tc>
          <w:tcPr>
            <w:tcW w:w="1484" w:type="dxa"/>
            <w:tcBorders>
              <w:top w:val="nil"/>
              <w:left w:val="nil"/>
              <w:bottom w:val="nil"/>
              <w:right w:val="nil"/>
            </w:tcBorders>
            <w:shd w:val="clear" w:color="auto" w:fill="auto"/>
            <w:noWrap/>
            <w:vAlign w:val="bottom"/>
            <w:hideMark/>
          </w:tcPr>
          <w:p w14:paraId="2BFA71AA"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p>
        </w:tc>
        <w:tc>
          <w:tcPr>
            <w:tcW w:w="990" w:type="dxa"/>
            <w:tcBorders>
              <w:top w:val="nil"/>
              <w:left w:val="nil"/>
              <w:bottom w:val="nil"/>
              <w:right w:val="nil"/>
            </w:tcBorders>
            <w:shd w:val="clear" w:color="auto" w:fill="auto"/>
            <w:noWrap/>
            <w:vAlign w:val="bottom"/>
            <w:hideMark/>
          </w:tcPr>
          <w:p w14:paraId="41E7427A"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1178" w:type="dxa"/>
            <w:tcBorders>
              <w:top w:val="nil"/>
              <w:left w:val="nil"/>
              <w:bottom w:val="nil"/>
              <w:right w:val="nil"/>
            </w:tcBorders>
            <w:shd w:val="clear" w:color="auto" w:fill="auto"/>
            <w:noWrap/>
            <w:vAlign w:val="bottom"/>
            <w:hideMark/>
          </w:tcPr>
          <w:p w14:paraId="5FEE133E"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1242" w:type="dxa"/>
            <w:tcBorders>
              <w:top w:val="nil"/>
              <w:left w:val="nil"/>
              <w:bottom w:val="nil"/>
              <w:right w:val="nil"/>
            </w:tcBorders>
            <w:shd w:val="clear" w:color="auto" w:fill="auto"/>
            <w:noWrap/>
            <w:vAlign w:val="bottom"/>
            <w:hideMark/>
          </w:tcPr>
          <w:p w14:paraId="4B6511F5"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5</w:t>
            </w:r>
          </w:p>
        </w:tc>
        <w:tc>
          <w:tcPr>
            <w:tcW w:w="1194" w:type="dxa"/>
            <w:tcBorders>
              <w:top w:val="nil"/>
              <w:left w:val="nil"/>
              <w:bottom w:val="nil"/>
              <w:right w:val="nil"/>
            </w:tcBorders>
            <w:shd w:val="clear" w:color="auto" w:fill="auto"/>
            <w:noWrap/>
            <w:vAlign w:val="bottom"/>
            <w:hideMark/>
          </w:tcPr>
          <w:p w14:paraId="7F6EB51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1502" w:type="dxa"/>
            <w:tcBorders>
              <w:top w:val="nil"/>
              <w:left w:val="nil"/>
              <w:bottom w:val="nil"/>
              <w:right w:val="nil"/>
            </w:tcBorders>
            <w:shd w:val="clear" w:color="auto" w:fill="auto"/>
            <w:noWrap/>
            <w:vAlign w:val="bottom"/>
            <w:hideMark/>
          </w:tcPr>
          <w:p w14:paraId="55258845"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1236" w:type="dxa"/>
            <w:tcBorders>
              <w:top w:val="nil"/>
              <w:left w:val="nil"/>
              <w:bottom w:val="nil"/>
              <w:right w:val="nil"/>
            </w:tcBorders>
            <w:shd w:val="clear" w:color="auto" w:fill="auto"/>
            <w:noWrap/>
            <w:vAlign w:val="bottom"/>
            <w:hideMark/>
          </w:tcPr>
          <w:p w14:paraId="1BE9AE56"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360" w:type="dxa"/>
            <w:tcBorders>
              <w:top w:val="nil"/>
              <w:left w:val="nil"/>
              <w:bottom w:val="nil"/>
              <w:right w:val="nil"/>
            </w:tcBorders>
            <w:shd w:val="clear" w:color="auto" w:fill="auto"/>
            <w:noWrap/>
            <w:vAlign w:val="bottom"/>
            <w:hideMark/>
          </w:tcPr>
          <w:p w14:paraId="6ED1E8F7"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921" w:type="dxa"/>
            <w:tcBorders>
              <w:top w:val="nil"/>
              <w:left w:val="nil"/>
              <w:bottom w:val="nil"/>
              <w:right w:val="nil"/>
            </w:tcBorders>
            <w:shd w:val="clear" w:color="auto" w:fill="auto"/>
            <w:noWrap/>
            <w:vAlign w:val="bottom"/>
            <w:hideMark/>
          </w:tcPr>
          <w:p w14:paraId="05E32FC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31</w:t>
            </w:r>
          </w:p>
        </w:tc>
      </w:tr>
      <w:tr w:rsidR="00504E14" w:rsidRPr="00670221" w14:paraId="73E36A8C" w14:textId="77777777" w:rsidTr="00A45788">
        <w:trPr>
          <w:trHeight w:val="243"/>
        </w:trPr>
        <w:tc>
          <w:tcPr>
            <w:tcW w:w="2421" w:type="dxa"/>
            <w:tcBorders>
              <w:top w:val="nil"/>
              <w:left w:val="nil"/>
              <w:bottom w:val="nil"/>
              <w:right w:val="nil"/>
            </w:tcBorders>
            <w:shd w:val="clear" w:color="auto" w:fill="auto"/>
            <w:noWrap/>
            <w:vAlign w:val="bottom"/>
            <w:hideMark/>
          </w:tcPr>
          <w:p w14:paraId="1F42F783"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Energy provider</w:t>
            </w:r>
          </w:p>
        </w:tc>
        <w:tc>
          <w:tcPr>
            <w:tcW w:w="856" w:type="dxa"/>
            <w:tcBorders>
              <w:top w:val="nil"/>
              <w:left w:val="nil"/>
              <w:bottom w:val="nil"/>
              <w:right w:val="nil"/>
            </w:tcBorders>
            <w:shd w:val="clear" w:color="auto" w:fill="auto"/>
            <w:noWrap/>
            <w:vAlign w:val="bottom"/>
            <w:hideMark/>
          </w:tcPr>
          <w:p w14:paraId="671E0CEB"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14</w:t>
            </w:r>
          </w:p>
        </w:tc>
        <w:tc>
          <w:tcPr>
            <w:tcW w:w="1484" w:type="dxa"/>
            <w:tcBorders>
              <w:top w:val="nil"/>
              <w:left w:val="nil"/>
              <w:bottom w:val="nil"/>
              <w:right w:val="nil"/>
            </w:tcBorders>
            <w:shd w:val="clear" w:color="auto" w:fill="auto"/>
            <w:noWrap/>
            <w:vAlign w:val="bottom"/>
            <w:hideMark/>
          </w:tcPr>
          <w:p w14:paraId="06E27348"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990" w:type="dxa"/>
            <w:tcBorders>
              <w:top w:val="nil"/>
              <w:left w:val="nil"/>
              <w:bottom w:val="nil"/>
              <w:right w:val="nil"/>
            </w:tcBorders>
            <w:shd w:val="clear" w:color="auto" w:fill="auto"/>
            <w:noWrap/>
            <w:vAlign w:val="bottom"/>
            <w:hideMark/>
          </w:tcPr>
          <w:p w14:paraId="386D57D0"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10</w:t>
            </w:r>
          </w:p>
        </w:tc>
        <w:tc>
          <w:tcPr>
            <w:tcW w:w="1178" w:type="dxa"/>
            <w:tcBorders>
              <w:top w:val="nil"/>
              <w:left w:val="nil"/>
              <w:bottom w:val="nil"/>
              <w:right w:val="nil"/>
            </w:tcBorders>
            <w:shd w:val="clear" w:color="auto" w:fill="auto"/>
            <w:noWrap/>
            <w:vAlign w:val="bottom"/>
            <w:hideMark/>
          </w:tcPr>
          <w:p w14:paraId="55CEAB6A"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15</w:t>
            </w:r>
          </w:p>
        </w:tc>
        <w:tc>
          <w:tcPr>
            <w:tcW w:w="1242" w:type="dxa"/>
            <w:tcBorders>
              <w:top w:val="nil"/>
              <w:left w:val="nil"/>
              <w:bottom w:val="nil"/>
              <w:right w:val="nil"/>
            </w:tcBorders>
            <w:shd w:val="clear" w:color="auto" w:fill="auto"/>
            <w:noWrap/>
            <w:vAlign w:val="bottom"/>
            <w:hideMark/>
          </w:tcPr>
          <w:p w14:paraId="7492EE1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16</w:t>
            </w:r>
          </w:p>
        </w:tc>
        <w:tc>
          <w:tcPr>
            <w:tcW w:w="1194" w:type="dxa"/>
            <w:tcBorders>
              <w:top w:val="nil"/>
              <w:left w:val="nil"/>
              <w:bottom w:val="nil"/>
              <w:right w:val="nil"/>
            </w:tcBorders>
            <w:shd w:val="clear" w:color="auto" w:fill="auto"/>
            <w:noWrap/>
            <w:vAlign w:val="bottom"/>
            <w:hideMark/>
          </w:tcPr>
          <w:p w14:paraId="43C456AC"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502" w:type="dxa"/>
            <w:tcBorders>
              <w:top w:val="nil"/>
              <w:left w:val="nil"/>
              <w:bottom w:val="nil"/>
              <w:right w:val="nil"/>
            </w:tcBorders>
            <w:shd w:val="clear" w:color="auto" w:fill="auto"/>
            <w:noWrap/>
            <w:vAlign w:val="bottom"/>
            <w:hideMark/>
          </w:tcPr>
          <w:p w14:paraId="5E3DE36B"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w:t>
            </w:r>
          </w:p>
        </w:tc>
        <w:tc>
          <w:tcPr>
            <w:tcW w:w="1236" w:type="dxa"/>
            <w:tcBorders>
              <w:top w:val="nil"/>
              <w:left w:val="nil"/>
              <w:bottom w:val="nil"/>
              <w:right w:val="nil"/>
            </w:tcBorders>
            <w:shd w:val="clear" w:color="auto" w:fill="auto"/>
            <w:noWrap/>
            <w:vAlign w:val="bottom"/>
            <w:hideMark/>
          </w:tcPr>
          <w:p w14:paraId="074A5F09"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w:t>
            </w:r>
          </w:p>
        </w:tc>
        <w:tc>
          <w:tcPr>
            <w:tcW w:w="1360" w:type="dxa"/>
            <w:tcBorders>
              <w:top w:val="nil"/>
              <w:left w:val="nil"/>
              <w:bottom w:val="nil"/>
              <w:right w:val="nil"/>
            </w:tcBorders>
            <w:shd w:val="clear" w:color="auto" w:fill="auto"/>
            <w:noWrap/>
            <w:vAlign w:val="bottom"/>
            <w:hideMark/>
          </w:tcPr>
          <w:p w14:paraId="4B2C839B"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w:t>
            </w:r>
          </w:p>
        </w:tc>
        <w:tc>
          <w:tcPr>
            <w:tcW w:w="921" w:type="dxa"/>
            <w:tcBorders>
              <w:top w:val="nil"/>
              <w:left w:val="nil"/>
              <w:bottom w:val="nil"/>
              <w:right w:val="nil"/>
            </w:tcBorders>
            <w:shd w:val="clear" w:color="auto" w:fill="auto"/>
            <w:noWrap/>
            <w:vAlign w:val="bottom"/>
            <w:hideMark/>
          </w:tcPr>
          <w:p w14:paraId="05C1B90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81</w:t>
            </w:r>
          </w:p>
        </w:tc>
      </w:tr>
      <w:tr w:rsidR="00504E14" w:rsidRPr="00670221" w14:paraId="0A372688" w14:textId="77777777" w:rsidTr="00A45788">
        <w:trPr>
          <w:trHeight w:val="243"/>
        </w:trPr>
        <w:tc>
          <w:tcPr>
            <w:tcW w:w="2421" w:type="dxa"/>
            <w:tcBorders>
              <w:top w:val="nil"/>
              <w:left w:val="nil"/>
              <w:bottom w:val="nil"/>
              <w:right w:val="nil"/>
            </w:tcBorders>
            <w:shd w:val="clear" w:color="auto" w:fill="auto"/>
            <w:noWrap/>
            <w:vAlign w:val="bottom"/>
            <w:hideMark/>
          </w:tcPr>
          <w:p w14:paraId="767B817B"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Feedstock supplier</w:t>
            </w:r>
          </w:p>
        </w:tc>
        <w:tc>
          <w:tcPr>
            <w:tcW w:w="856" w:type="dxa"/>
            <w:tcBorders>
              <w:top w:val="nil"/>
              <w:left w:val="nil"/>
              <w:bottom w:val="nil"/>
              <w:right w:val="nil"/>
            </w:tcBorders>
            <w:shd w:val="clear" w:color="auto" w:fill="auto"/>
            <w:noWrap/>
            <w:vAlign w:val="bottom"/>
            <w:hideMark/>
          </w:tcPr>
          <w:p w14:paraId="7B2338DA"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484" w:type="dxa"/>
            <w:tcBorders>
              <w:top w:val="nil"/>
              <w:left w:val="nil"/>
              <w:bottom w:val="nil"/>
              <w:right w:val="nil"/>
            </w:tcBorders>
            <w:shd w:val="clear" w:color="auto" w:fill="auto"/>
            <w:noWrap/>
            <w:vAlign w:val="bottom"/>
            <w:hideMark/>
          </w:tcPr>
          <w:p w14:paraId="1148F610"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990" w:type="dxa"/>
            <w:tcBorders>
              <w:top w:val="nil"/>
              <w:left w:val="nil"/>
              <w:bottom w:val="nil"/>
              <w:right w:val="nil"/>
            </w:tcBorders>
            <w:shd w:val="clear" w:color="auto" w:fill="auto"/>
            <w:noWrap/>
            <w:vAlign w:val="bottom"/>
            <w:hideMark/>
          </w:tcPr>
          <w:p w14:paraId="371488D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15</w:t>
            </w:r>
          </w:p>
        </w:tc>
        <w:tc>
          <w:tcPr>
            <w:tcW w:w="1178" w:type="dxa"/>
            <w:tcBorders>
              <w:top w:val="nil"/>
              <w:left w:val="nil"/>
              <w:bottom w:val="nil"/>
              <w:right w:val="nil"/>
            </w:tcBorders>
            <w:shd w:val="clear" w:color="auto" w:fill="auto"/>
            <w:noWrap/>
            <w:vAlign w:val="bottom"/>
            <w:hideMark/>
          </w:tcPr>
          <w:p w14:paraId="29D1C54B"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242" w:type="dxa"/>
            <w:tcBorders>
              <w:top w:val="nil"/>
              <w:left w:val="nil"/>
              <w:bottom w:val="nil"/>
              <w:right w:val="nil"/>
            </w:tcBorders>
            <w:shd w:val="clear" w:color="auto" w:fill="auto"/>
            <w:noWrap/>
            <w:vAlign w:val="bottom"/>
            <w:hideMark/>
          </w:tcPr>
          <w:p w14:paraId="6F8AA26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18</w:t>
            </w:r>
          </w:p>
        </w:tc>
        <w:tc>
          <w:tcPr>
            <w:tcW w:w="1194" w:type="dxa"/>
            <w:tcBorders>
              <w:top w:val="nil"/>
              <w:left w:val="nil"/>
              <w:bottom w:val="nil"/>
              <w:right w:val="nil"/>
            </w:tcBorders>
            <w:shd w:val="clear" w:color="auto" w:fill="auto"/>
            <w:noWrap/>
            <w:vAlign w:val="bottom"/>
            <w:hideMark/>
          </w:tcPr>
          <w:p w14:paraId="3484AF7E"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11</w:t>
            </w:r>
          </w:p>
        </w:tc>
        <w:tc>
          <w:tcPr>
            <w:tcW w:w="1502" w:type="dxa"/>
            <w:tcBorders>
              <w:top w:val="nil"/>
              <w:left w:val="nil"/>
              <w:bottom w:val="nil"/>
              <w:right w:val="nil"/>
            </w:tcBorders>
            <w:shd w:val="clear" w:color="auto" w:fill="auto"/>
            <w:noWrap/>
            <w:vAlign w:val="bottom"/>
            <w:hideMark/>
          </w:tcPr>
          <w:p w14:paraId="614D5475"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5</w:t>
            </w:r>
          </w:p>
        </w:tc>
        <w:tc>
          <w:tcPr>
            <w:tcW w:w="1236" w:type="dxa"/>
            <w:tcBorders>
              <w:top w:val="nil"/>
              <w:left w:val="nil"/>
              <w:bottom w:val="nil"/>
              <w:right w:val="nil"/>
            </w:tcBorders>
            <w:shd w:val="clear" w:color="auto" w:fill="auto"/>
            <w:noWrap/>
            <w:vAlign w:val="bottom"/>
            <w:hideMark/>
          </w:tcPr>
          <w:p w14:paraId="6EADE49E"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14</w:t>
            </w:r>
          </w:p>
        </w:tc>
        <w:tc>
          <w:tcPr>
            <w:tcW w:w="1360" w:type="dxa"/>
            <w:tcBorders>
              <w:top w:val="nil"/>
              <w:left w:val="nil"/>
              <w:bottom w:val="nil"/>
              <w:right w:val="nil"/>
            </w:tcBorders>
            <w:shd w:val="clear" w:color="auto" w:fill="auto"/>
            <w:noWrap/>
            <w:vAlign w:val="bottom"/>
            <w:hideMark/>
          </w:tcPr>
          <w:p w14:paraId="2028729E"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4</w:t>
            </w:r>
          </w:p>
        </w:tc>
        <w:tc>
          <w:tcPr>
            <w:tcW w:w="921" w:type="dxa"/>
            <w:tcBorders>
              <w:top w:val="nil"/>
              <w:left w:val="nil"/>
              <w:bottom w:val="nil"/>
              <w:right w:val="nil"/>
            </w:tcBorders>
            <w:shd w:val="clear" w:color="auto" w:fill="auto"/>
            <w:noWrap/>
            <w:vAlign w:val="bottom"/>
            <w:hideMark/>
          </w:tcPr>
          <w:p w14:paraId="4AC1DC8F"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82</w:t>
            </w:r>
          </w:p>
        </w:tc>
      </w:tr>
      <w:tr w:rsidR="00504E14" w:rsidRPr="00670221" w14:paraId="6A95E5F0" w14:textId="77777777" w:rsidTr="00A45788">
        <w:trPr>
          <w:trHeight w:val="243"/>
        </w:trPr>
        <w:tc>
          <w:tcPr>
            <w:tcW w:w="2421" w:type="dxa"/>
            <w:tcBorders>
              <w:top w:val="nil"/>
              <w:left w:val="nil"/>
              <w:bottom w:val="nil"/>
              <w:right w:val="nil"/>
            </w:tcBorders>
            <w:shd w:val="clear" w:color="auto" w:fill="auto"/>
            <w:noWrap/>
            <w:vAlign w:val="bottom"/>
            <w:hideMark/>
          </w:tcPr>
          <w:p w14:paraId="00CDD4F3"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Fuel conversion technology provider</w:t>
            </w:r>
          </w:p>
        </w:tc>
        <w:tc>
          <w:tcPr>
            <w:tcW w:w="856" w:type="dxa"/>
            <w:tcBorders>
              <w:top w:val="nil"/>
              <w:left w:val="nil"/>
              <w:bottom w:val="nil"/>
              <w:right w:val="nil"/>
            </w:tcBorders>
            <w:shd w:val="clear" w:color="auto" w:fill="auto"/>
            <w:noWrap/>
            <w:vAlign w:val="bottom"/>
            <w:hideMark/>
          </w:tcPr>
          <w:p w14:paraId="736F21D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13</w:t>
            </w:r>
          </w:p>
        </w:tc>
        <w:tc>
          <w:tcPr>
            <w:tcW w:w="1484" w:type="dxa"/>
            <w:tcBorders>
              <w:top w:val="nil"/>
              <w:left w:val="nil"/>
              <w:bottom w:val="nil"/>
              <w:right w:val="nil"/>
            </w:tcBorders>
            <w:shd w:val="clear" w:color="auto" w:fill="auto"/>
            <w:noWrap/>
            <w:vAlign w:val="bottom"/>
            <w:hideMark/>
          </w:tcPr>
          <w:p w14:paraId="09719AA9"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5</w:t>
            </w:r>
          </w:p>
        </w:tc>
        <w:tc>
          <w:tcPr>
            <w:tcW w:w="990" w:type="dxa"/>
            <w:tcBorders>
              <w:top w:val="nil"/>
              <w:left w:val="nil"/>
              <w:bottom w:val="nil"/>
              <w:right w:val="nil"/>
            </w:tcBorders>
            <w:shd w:val="clear" w:color="auto" w:fill="auto"/>
            <w:noWrap/>
            <w:vAlign w:val="bottom"/>
            <w:hideMark/>
          </w:tcPr>
          <w:p w14:paraId="6646FFC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16</w:t>
            </w:r>
          </w:p>
        </w:tc>
        <w:tc>
          <w:tcPr>
            <w:tcW w:w="1178" w:type="dxa"/>
            <w:tcBorders>
              <w:top w:val="nil"/>
              <w:left w:val="nil"/>
              <w:bottom w:val="nil"/>
              <w:right w:val="nil"/>
            </w:tcBorders>
            <w:shd w:val="clear" w:color="auto" w:fill="auto"/>
            <w:noWrap/>
            <w:vAlign w:val="bottom"/>
            <w:hideMark/>
          </w:tcPr>
          <w:p w14:paraId="4CCEC8C9"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18</w:t>
            </w:r>
          </w:p>
        </w:tc>
        <w:tc>
          <w:tcPr>
            <w:tcW w:w="1242" w:type="dxa"/>
            <w:tcBorders>
              <w:top w:val="nil"/>
              <w:left w:val="nil"/>
              <w:bottom w:val="nil"/>
              <w:right w:val="nil"/>
            </w:tcBorders>
            <w:shd w:val="clear" w:color="auto" w:fill="auto"/>
            <w:noWrap/>
            <w:vAlign w:val="bottom"/>
            <w:hideMark/>
          </w:tcPr>
          <w:p w14:paraId="33F9A4E8"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24</w:t>
            </w:r>
          </w:p>
        </w:tc>
        <w:tc>
          <w:tcPr>
            <w:tcW w:w="1194" w:type="dxa"/>
            <w:tcBorders>
              <w:top w:val="nil"/>
              <w:left w:val="nil"/>
              <w:bottom w:val="nil"/>
              <w:right w:val="nil"/>
            </w:tcBorders>
            <w:shd w:val="clear" w:color="auto" w:fill="auto"/>
            <w:noWrap/>
            <w:vAlign w:val="bottom"/>
            <w:hideMark/>
          </w:tcPr>
          <w:p w14:paraId="0B38229D"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7</w:t>
            </w:r>
          </w:p>
        </w:tc>
        <w:tc>
          <w:tcPr>
            <w:tcW w:w="1502" w:type="dxa"/>
            <w:tcBorders>
              <w:top w:val="nil"/>
              <w:left w:val="nil"/>
              <w:bottom w:val="nil"/>
              <w:right w:val="nil"/>
            </w:tcBorders>
            <w:shd w:val="clear" w:color="auto" w:fill="auto"/>
            <w:noWrap/>
            <w:vAlign w:val="bottom"/>
            <w:hideMark/>
          </w:tcPr>
          <w:p w14:paraId="03949BB5"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18</w:t>
            </w:r>
          </w:p>
        </w:tc>
        <w:tc>
          <w:tcPr>
            <w:tcW w:w="1236" w:type="dxa"/>
            <w:tcBorders>
              <w:top w:val="nil"/>
              <w:left w:val="nil"/>
              <w:bottom w:val="nil"/>
              <w:right w:val="nil"/>
            </w:tcBorders>
            <w:shd w:val="clear" w:color="auto" w:fill="auto"/>
            <w:noWrap/>
            <w:vAlign w:val="bottom"/>
            <w:hideMark/>
          </w:tcPr>
          <w:p w14:paraId="77262AD8"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w:t>
            </w:r>
          </w:p>
        </w:tc>
        <w:tc>
          <w:tcPr>
            <w:tcW w:w="1360" w:type="dxa"/>
            <w:tcBorders>
              <w:top w:val="nil"/>
              <w:left w:val="nil"/>
              <w:bottom w:val="nil"/>
              <w:right w:val="nil"/>
            </w:tcBorders>
            <w:shd w:val="clear" w:color="auto" w:fill="auto"/>
            <w:noWrap/>
            <w:vAlign w:val="bottom"/>
            <w:hideMark/>
          </w:tcPr>
          <w:p w14:paraId="0E46943C"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921" w:type="dxa"/>
            <w:tcBorders>
              <w:top w:val="nil"/>
              <w:left w:val="nil"/>
              <w:bottom w:val="nil"/>
              <w:right w:val="nil"/>
            </w:tcBorders>
            <w:shd w:val="clear" w:color="auto" w:fill="auto"/>
            <w:noWrap/>
            <w:vAlign w:val="bottom"/>
            <w:hideMark/>
          </w:tcPr>
          <w:p w14:paraId="44B18DB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111</w:t>
            </w:r>
          </w:p>
        </w:tc>
      </w:tr>
      <w:tr w:rsidR="00504E14" w:rsidRPr="00670221" w14:paraId="6A76ECE1" w14:textId="77777777" w:rsidTr="00A45788">
        <w:trPr>
          <w:trHeight w:val="243"/>
        </w:trPr>
        <w:tc>
          <w:tcPr>
            <w:tcW w:w="2421" w:type="dxa"/>
            <w:tcBorders>
              <w:top w:val="nil"/>
              <w:left w:val="nil"/>
              <w:bottom w:val="nil"/>
              <w:right w:val="nil"/>
            </w:tcBorders>
            <w:shd w:val="clear" w:color="auto" w:fill="auto"/>
            <w:noWrap/>
            <w:vAlign w:val="bottom"/>
            <w:hideMark/>
          </w:tcPr>
          <w:p w14:paraId="13A32732"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Fuel distributor</w:t>
            </w:r>
          </w:p>
        </w:tc>
        <w:tc>
          <w:tcPr>
            <w:tcW w:w="856" w:type="dxa"/>
            <w:tcBorders>
              <w:top w:val="nil"/>
              <w:left w:val="nil"/>
              <w:bottom w:val="nil"/>
              <w:right w:val="nil"/>
            </w:tcBorders>
            <w:shd w:val="clear" w:color="auto" w:fill="auto"/>
            <w:noWrap/>
            <w:vAlign w:val="bottom"/>
            <w:hideMark/>
          </w:tcPr>
          <w:p w14:paraId="75235811"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1484" w:type="dxa"/>
            <w:tcBorders>
              <w:top w:val="nil"/>
              <w:left w:val="nil"/>
              <w:bottom w:val="nil"/>
              <w:right w:val="nil"/>
            </w:tcBorders>
            <w:shd w:val="clear" w:color="auto" w:fill="auto"/>
            <w:noWrap/>
            <w:vAlign w:val="bottom"/>
            <w:hideMark/>
          </w:tcPr>
          <w:p w14:paraId="67F67923"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990" w:type="dxa"/>
            <w:tcBorders>
              <w:top w:val="nil"/>
              <w:left w:val="nil"/>
              <w:bottom w:val="nil"/>
              <w:right w:val="nil"/>
            </w:tcBorders>
            <w:shd w:val="clear" w:color="auto" w:fill="auto"/>
            <w:noWrap/>
            <w:vAlign w:val="bottom"/>
            <w:hideMark/>
          </w:tcPr>
          <w:p w14:paraId="75922262"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178" w:type="dxa"/>
            <w:tcBorders>
              <w:top w:val="nil"/>
              <w:left w:val="nil"/>
              <w:bottom w:val="nil"/>
              <w:right w:val="nil"/>
            </w:tcBorders>
            <w:shd w:val="clear" w:color="auto" w:fill="auto"/>
            <w:noWrap/>
            <w:vAlign w:val="bottom"/>
            <w:hideMark/>
          </w:tcPr>
          <w:p w14:paraId="023DEE4F"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11</w:t>
            </w:r>
          </w:p>
        </w:tc>
        <w:tc>
          <w:tcPr>
            <w:tcW w:w="1242" w:type="dxa"/>
            <w:tcBorders>
              <w:top w:val="nil"/>
              <w:left w:val="nil"/>
              <w:bottom w:val="nil"/>
              <w:right w:val="nil"/>
            </w:tcBorders>
            <w:shd w:val="clear" w:color="auto" w:fill="auto"/>
            <w:noWrap/>
            <w:vAlign w:val="bottom"/>
            <w:hideMark/>
          </w:tcPr>
          <w:p w14:paraId="1CEC04F9"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7</w:t>
            </w:r>
          </w:p>
        </w:tc>
        <w:tc>
          <w:tcPr>
            <w:tcW w:w="1194" w:type="dxa"/>
            <w:tcBorders>
              <w:top w:val="nil"/>
              <w:left w:val="nil"/>
              <w:bottom w:val="nil"/>
              <w:right w:val="nil"/>
            </w:tcBorders>
            <w:shd w:val="clear" w:color="auto" w:fill="auto"/>
            <w:noWrap/>
            <w:vAlign w:val="bottom"/>
            <w:hideMark/>
          </w:tcPr>
          <w:p w14:paraId="258787BF"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w:t>
            </w:r>
          </w:p>
        </w:tc>
        <w:tc>
          <w:tcPr>
            <w:tcW w:w="1502" w:type="dxa"/>
            <w:tcBorders>
              <w:top w:val="nil"/>
              <w:left w:val="nil"/>
              <w:bottom w:val="nil"/>
              <w:right w:val="nil"/>
            </w:tcBorders>
            <w:shd w:val="clear" w:color="auto" w:fill="auto"/>
            <w:noWrap/>
            <w:vAlign w:val="bottom"/>
            <w:hideMark/>
          </w:tcPr>
          <w:p w14:paraId="5B6F7936"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236" w:type="dxa"/>
            <w:tcBorders>
              <w:top w:val="nil"/>
              <w:left w:val="nil"/>
              <w:bottom w:val="nil"/>
              <w:right w:val="nil"/>
            </w:tcBorders>
            <w:shd w:val="clear" w:color="auto" w:fill="auto"/>
            <w:noWrap/>
            <w:vAlign w:val="bottom"/>
            <w:hideMark/>
          </w:tcPr>
          <w:p w14:paraId="5E89E9C0"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360" w:type="dxa"/>
            <w:tcBorders>
              <w:top w:val="nil"/>
              <w:left w:val="nil"/>
              <w:bottom w:val="nil"/>
              <w:right w:val="nil"/>
            </w:tcBorders>
            <w:shd w:val="clear" w:color="auto" w:fill="auto"/>
            <w:noWrap/>
            <w:vAlign w:val="bottom"/>
            <w:hideMark/>
          </w:tcPr>
          <w:p w14:paraId="6BD9627C"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921" w:type="dxa"/>
            <w:tcBorders>
              <w:top w:val="nil"/>
              <w:left w:val="nil"/>
              <w:bottom w:val="nil"/>
              <w:right w:val="nil"/>
            </w:tcBorders>
            <w:shd w:val="clear" w:color="auto" w:fill="auto"/>
            <w:noWrap/>
            <w:vAlign w:val="bottom"/>
            <w:hideMark/>
          </w:tcPr>
          <w:p w14:paraId="0DA412EE"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52</w:t>
            </w:r>
          </w:p>
        </w:tc>
      </w:tr>
      <w:tr w:rsidR="00504E14" w:rsidRPr="00670221" w14:paraId="57655710" w14:textId="77777777" w:rsidTr="00A45788">
        <w:trPr>
          <w:trHeight w:val="243"/>
        </w:trPr>
        <w:tc>
          <w:tcPr>
            <w:tcW w:w="2421" w:type="dxa"/>
            <w:tcBorders>
              <w:top w:val="nil"/>
              <w:left w:val="nil"/>
              <w:bottom w:val="nil"/>
              <w:right w:val="nil"/>
            </w:tcBorders>
            <w:shd w:val="clear" w:color="auto" w:fill="auto"/>
            <w:noWrap/>
            <w:vAlign w:val="bottom"/>
            <w:hideMark/>
          </w:tcPr>
          <w:p w14:paraId="6F6A6B52"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Infrastructure</w:t>
            </w:r>
          </w:p>
        </w:tc>
        <w:tc>
          <w:tcPr>
            <w:tcW w:w="856" w:type="dxa"/>
            <w:tcBorders>
              <w:top w:val="nil"/>
              <w:left w:val="nil"/>
              <w:bottom w:val="nil"/>
              <w:right w:val="nil"/>
            </w:tcBorders>
            <w:shd w:val="clear" w:color="auto" w:fill="auto"/>
            <w:noWrap/>
            <w:vAlign w:val="bottom"/>
            <w:hideMark/>
          </w:tcPr>
          <w:p w14:paraId="60A42518"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13</w:t>
            </w:r>
          </w:p>
        </w:tc>
        <w:tc>
          <w:tcPr>
            <w:tcW w:w="1484" w:type="dxa"/>
            <w:tcBorders>
              <w:top w:val="nil"/>
              <w:left w:val="nil"/>
              <w:bottom w:val="nil"/>
              <w:right w:val="nil"/>
            </w:tcBorders>
            <w:shd w:val="clear" w:color="auto" w:fill="auto"/>
            <w:noWrap/>
            <w:vAlign w:val="bottom"/>
            <w:hideMark/>
          </w:tcPr>
          <w:p w14:paraId="142FF0C0"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990" w:type="dxa"/>
            <w:tcBorders>
              <w:top w:val="nil"/>
              <w:left w:val="nil"/>
              <w:bottom w:val="nil"/>
              <w:right w:val="nil"/>
            </w:tcBorders>
            <w:shd w:val="clear" w:color="auto" w:fill="auto"/>
            <w:noWrap/>
            <w:vAlign w:val="bottom"/>
            <w:hideMark/>
          </w:tcPr>
          <w:p w14:paraId="0E339FDD"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w:t>
            </w:r>
          </w:p>
        </w:tc>
        <w:tc>
          <w:tcPr>
            <w:tcW w:w="1178" w:type="dxa"/>
            <w:tcBorders>
              <w:top w:val="nil"/>
              <w:left w:val="nil"/>
              <w:bottom w:val="nil"/>
              <w:right w:val="nil"/>
            </w:tcBorders>
            <w:shd w:val="clear" w:color="auto" w:fill="auto"/>
            <w:noWrap/>
            <w:vAlign w:val="bottom"/>
            <w:hideMark/>
          </w:tcPr>
          <w:p w14:paraId="6D8897E8"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5</w:t>
            </w:r>
          </w:p>
        </w:tc>
        <w:tc>
          <w:tcPr>
            <w:tcW w:w="1242" w:type="dxa"/>
            <w:tcBorders>
              <w:top w:val="nil"/>
              <w:left w:val="nil"/>
              <w:bottom w:val="nil"/>
              <w:right w:val="nil"/>
            </w:tcBorders>
            <w:shd w:val="clear" w:color="auto" w:fill="auto"/>
            <w:noWrap/>
            <w:vAlign w:val="bottom"/>
            <w:hideMark/>
          </w:tcPr>
          <w:p w14:paraId="2C388915"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18</w:t>
            </w:r>
          </w:p>
        </w:tc>
        <w:tc>
          <w:tcPr>
            <w:tcW w:w="1194" w:type="dxa"/>
            <w:tcBorders>
              <w:top w:val="nil"/>
              <w:left w:val="nil"/>
              <w:bottom w:val="nil"/>
              <w:right w:val="nil"/>
            </w:tcBorders>
            <w:shd w:val="clear" w:color="auto" w:fill="auto"/>
            <w:noWrap/>
            <w:vAlign w:val="bottom"/>
            <w:hideMark/>
          </w:tcPr>
          <w:p w14:paraId="0FEFB064"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502" w:type="dxa"/>
            <w:tcBorders>
              <w:top w:val="nil"/>
              <w:left w:val="nil"/>
              <w:bottom w:val="nil"/>
              <w:right w:val="nil"/>
            </w:tcBorders>
            <w:shd w:val="clear" w:color="auto" w:fill="auto"/>
            <w:noWrap/>
            <w:vAlign w:val="bottom"/>
            <w:hideMark/>
          </w:tcPr>
          <w:p w14:paraId="794EA3EC"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1236" w:type="dxa"/>
            <w:tcBorders>
              <w:top w:val="nil"/>
              <w:left w:val="nil"/>
              <w:bottom w:val="nil"/>
              <w:right w:val="nil"/>
            </w:tcBorders>
            <w:shd w:val="clear" w:color="auto" w:fill="auto"/>
            <w:noWrap/>
            <w:vAlign w:val="bottom"/>
            <w:hideMark/>
          </w:tcPr>
          <w:p w14:paraId="58F38C65"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360" w:type="dxa"/>
            <w:tcBorders>
              <w:top w:val="nil"/>
              <w:left w:val="nil"/>
              <w:bottom w:val="nil"/>
              <w:right w:val="nil"/>
            </w:tcBorders>
            <w:shd w:val="clear" w:color="auto" w:fill="auto"/>
            <w:noWrap/>
            <w:vAlign w:val="bottom"/>
            <w:hideMark/>
          </w:tcPr>
          <w:p w14:paraId="125DDBAE"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921" w:type="dxa"/>
            <w:tcBorders>
              <w:top w:val="nil"/>
              <w:left w:val="nil"/>
              <w:bottom w:val="nil"/>
              <w:right w:val="nil"/>
            </w:tcBorders>
            <w:shd w:val="clear" w:color="auto" w:fill="auto"/>
            <w:noWrap/>
            <w:vAlign w:val="bottom"/>
            <w:hideMark/>
          </w:tcPr>
          <w:p w14:paraId="35C165A6"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63</w:t>
            </w:r>
          </w:p>
        </w:tc>
      </w:tr>
      <w:tr w:rsidR="00504E14" w:rsidRPr="00670221" w14:paraId="18EF9AF1" w14:textId="77777777" w:rsidTr="00A45788">
        <w:trPr>
          <w:trHeight w:val="243"/>
        </w:trPr>
        <w:tc>
          <w:tcPr>
            <w:tcW w:w="2421" w:type="dxa"/>
            <w:tcBorders>
              <w:top w:val="nil"/>
              <w:left w:val="nil"/>
              <w:bottom w:val="nil"/>
              <w:right w:val="nil"/>
            </w:tcBorders>
            <w:shd w:val="clear" w:color="auto" w:fill="auto"/>
            <w:noWrap/>
            <w:vAlign w:val="bottom"/>
            <w:hideMark/>
          </w:tcPr>
          <w:p w14:paraId="65C9DEC5"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Knowledge institute</w:t>
            </w:r>
          </w:p>
        </w:tc>
        <w:tc>
          <w:tcPr>
            <w:tcW w:w="856" w:type="dxa"/>
            <w:tcBorders>
              <w:top w:val="nil"/>
              <w:left w:val="nil"/>
              <w:bottom w:val="nil"/>
              <w:right w:val="nil"/>
            </w:tcBorders>
            <w:shd w:val="clear" w:color="auto" w:fill="auto"/>
            <w:noWrap/>
            <w:vAlign w:val="bottom"/>
            <w:hideMark/>
          </w:tcPr>
          <w:p w14:paraId="0C74233B"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w:t>
            </w:r>
          </w:p>
        </w:tc>
        <w:tc>
          <w:tcPr>
            <w:tcW w:w="1484" w:type="dxa"/>
            <w:tcBorders>
              <w:top w:val="nil"/>
              <w:left w:val="nil"/>
              <w:bottom w:val="nil"/>
              <w:right w:val="nil"/>
            </w:tcBorders>
            <w:shd w:val="clear" w:color="auto" w:fill="auto"/>
            <w:noWrap/>
            <w:vAlign w:val="bottom"/>
            <w:hideMark/>
          </w:tcPr>
          <w:p w14:paraId="5E7844FB"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990" w:type="dxa"/>
            <w:tcBorders>
              <w:top w:val="nil"/>
              <w:left w:val="nil"/>
              <w:bottom w:val="nil"/>
              <w:right w:val="nil"/>
            </w:tcBorders>
            <w:shd w:val="clear" w:color="auto" w:fill="auto"/>
            <w:noWrap/>
            <w:vAlign w:val="bottom"/>
            <w:hideMark/>
          </w:tcPr>
          <w:p w14:paraId="46FB3404"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w:t>
            </w:r>
          </w:p>
        </w:tc>
        <w:tc>
          <w:tcPr>
            <w:tcW w:w="1178" w:type="dxa"/>
            <w:tcBorders>
              <w:top w:val="nil"/>
              <w:left w:val="nil"/>
              <w:bottom w:val="nil"/>
              <w:right w:val="nil"/>
            </w:tcBorders>
            <w:shd w:val="clear" w:color="auto" w:fill="auto"/>
            <w:noWrap/>
            <w:vAlign w:val="bottom"/>
            <w:hideMark/>
          </w:tcPr>
          <w:p w14:paraId="2E074755"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14</w:t>
            </w:r>
          </w:p>
        </w:tc>
        <w:tc>
          <w:tcPr>
            <w:tcW w:w="1242" w:type="dxa"/>
            <w:tcBorders>
              <w:top w:val="nil"/>
              <w:left w:val="nil"/>
              <w:bottom w:val="nil"/>
              <w:right w:val="nil"/>
            </w:tcBorders>
            <w:shd w:val="clear" w:color="auto" w:fill="auto"/>
            <w:noWrap/>
            <w:vAlign w:val="bottom"/>
            <w:hideMark/>
          </w:tcPr>
          <w:p w14:paraId="68486576"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8</w:t>
            </w:r>
          </w:p>
        </w:tc>
        <w:tc>
          <w:tcPr>
            <w:tcW w:w="1194" w:type="dxa"/>
            <w:tcBorders>
              <w:top w:val="nil"/>
              <w:left w:val="nil"/>
              <w:bottom w:val="nil"/>
              <w:right w:val="nil"/>
            </w:tcBorders>
            <w:shd w:val="clear" w:color="auto" w:fill="auto"/>
            <w:noWrap/>
            <w:vAlign w:val="bottom"/>
            <w:hideMark/>
          </w:tcPr>
          <w:p w14:paraId="3C695B0D"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502" w:type="dxa"/>
            <w:tcBorders>
              <w:top w:val="nil"/>
              <w:left w:val="nil"/>
              <w:bottom w:val="nil"/>
              <w:right w:val="nil"/>
            </w:tcBorders>
            <w:shd w:val="clear" w:color="auto" w:fill="auto"/>
            <w:noWrap/>
            <w:vAlign w:val="bottom"/>
            <w:hideMark/>
          </w:tcPr>
          <w:p w14:paraId="30D6CCE1"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6</w:t>
            </w:r>
          </w:p>
        </w:tc>
        <w:tc>
          <w:tcPr>
            <w:tcW w:w="1236" w:type="dxa"/>
            <w:tcBorders>
              <w:top w:val="nil"/>
              <w:left w:val="nil"/>
              <w:bottom w:val="nil"/>
              <w:right w:val="nil"/>
            </w:tcBorders>
            <w:shd w:val="clear" w:color="auto" w:fill="auto"/>
            <w:noWrap/>
            <w:vAlign w:val="bottom"/>
            <w:hideMark/>
          </w:tcPr>
          <w:p w14:paraId="3B7E8E55"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38</w:t>
            </w:r>
          </w:p>
        </w:tc>
        <w:tc>
          <w:tcPr>
            <w:tcW w:w="1360" w:type="dxa"/>
            <w:tcBorders>
              <w:top w:val="nil"/>
              <w:left w:val="nil"/>
              <w:bottom w:val="nil"/>
              <w:right w:val="nil"/>
            </w:tcBorders>
            <w:shd w:val="clear" w:color="auto" w:fill="auto"/>
            <w:noWrap/>
            <w:vAlign w:val="bottom"/>
            <w:hideMark/>
          </w:tcPr>
          <w:p w14:paraId="01272E5F"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921" w:type="dxa"/>
            <w:tcBorders>
              <w:top w:val="nil"/>
              <w:left w:val="nil"/>
              <w:bottom w:val="nil"/>
              <w:right w:val="nil"/>
            </w:tcBorders>
            <w:shd w:val="clear" w:color="auto" w:fill="auto"/>
            <w:noWrap/>
            <w:vAlign w:val="bottom"/>
            <w:hideMark/>
          </w:tcPr>
          <w:p w14:paraId="572A9DAB"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90</w:t>
            </w:r>
          </w:p>
        </w:tc>
      </w:tr>
      <w:tr w:rsidR="00504E14" w:rsidRPr="00670221" w14:paraId="638A66B3" w14:textId="77777777" w:rsidTr="00A45788">
        <w:trPr>
          <w:trHeight w:val="243"/>
        </w:trPr>
        <w:tc>
          <w:tcPr>
            <w:tcW w:w="2421" w:type="dxa"/>
            <w:tcBorders>
              <w:top w:val="nil"/>
              <w:left w:val="nil"/>
              <w:bottom w:val="nil"/>
              <w:right w:val="nil"/>
            </w:tcBorders>
            <w:shd w:val="clear" w:color="auto" w:fill="auto"/>
            <w:noWrap/>
            <w:vAlign w:val="bottom"/>
            <w:hideMark/>
          </w:tcPr>
          <w:p w14:paraId="3B17CB1F" w14:textId="77777777" w:rsidR="00504E14" w:rsidRPr="00670221" w:rsidRDefault="00504E14" w:rsidP="00504E14">
            <w:pPr>
              <w:spacing w:before="0" w:after="0"/>
              <w:jc w:val="lef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Supporting organization</w:t>
            </w:r>
          </w:p>
        </w:tc>
        <w:tc>
          <w:tcPr>
            <w:tcW w:w="856" w:type="dxa"/>
            <w:tcBorders>
              <w:top w:val="nil"/>
              <w:left w:val="nil"/>
              <w:bottom w:val="nil"/>
              <w:right w:val="nil"/>
            </w:tcBorders>
            <w:shd w:val="clear" w:color="auto" w:fill="auto"/>
            <w:noWrap/>
            <w:vAlign w:val="bottom"/>
            <w:hideMark/>
          </w:tcPr>
          <w:p w14:paraId="1AD82740"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w:t>
            </w:r>
          </w:p>
        </w:tc>
        <w:tc>
          <w:tcPr>
            <w:tcW w:w="1484" w:type="dxa"/>
            <w:tcBorders>
              <w:top w:val="nil"/>
              <w:left w:val="nil"/>
              <w:bottom w:val="nil"/>
              <w:right w:val="nil"/>
            </w:tcBorders>
            <w:shd w:val="clear" w:color="auto" w:fill="auto"/>
            <w:noWrap/>
            <w:vAlign w:val="bottom"/>
            <w:hideMark/>
          </w:tcPr>
          <w:p w14:paraId="7166848F"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990" w:type="dxa"/>
            <w:tcBorders>
              <w:top w:val="nil"/>
              <w:left w:val="nil"/>
              <w:bottom w:val="nil"/>
              <w:right w:val="nil"/>
            </w:tcBorders>
            <w:shd w:val="clear" w:color="auto" w:fill="auto"/>
            <w:noWrap/>
            <w:vAlign w:val="bottom"/>
            <w:hideMark/>
          </w:tcPr>
          <w:p w14:paraId="04F858A4"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1</w:t>
            </w:r>
          </w:p>
        </w:tc>
        <w:tc>
          <w:tcPr>
            <w:tcW w:w="1178" w:type="dxa"/>
            <w:tcBorders>
              <w:top w:val="nil"/>
              <w:left w:val="nil"/>
              <w:bottom w:val="nil"/>
              <w:right w:val="nil"/>
            </w:tcBorders>
            <w:shd w:val="clear" w:color="auto" w:fill="auto"/>
            <w:noWrap/>
            <w:vAlign w:val="bottom"/>
            <w:hideMark/>
          </w:tcPr>
          <w:p w14:paraId="466D3444"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4</w:t>
            </w:r>
          </w:p>
        </w:tc>
        <w:tc>
          <w:tcPr>
            <w:tcW w:w="1242" w:type="dxa"/>
            <w:tcBorders>
              <w:top w:val="nil"/>
              <w:left w:val="nil"/>
              <w:bottom w:val="nil"/>
              <w:right w:val="nil"/>
            </w:tcBorders>
            <w:shd w:val="clear" w:color="auto" w:fill="auto"/>
            <w:noWrap/>
            <w:vAlign w:val="bottom"/>
            <w:hideMark/>
          </w:tcPr>
          <w:p w14:paraId="667AE061"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1194" w:type="dxa"/>
            <w:tcBorders>
              <w:top w:val="nil"/>
              <w:left w:val="nil"/>
              <w:bottom w:val="nil"/>
              <w:right w:val="nil"/>
            </w:tcBorders>
            <w:shd w:val="clear" w:color="auto" w:fill="auto"/>
            <w:noWrap/>
            <w:vAlign w:val="bottom"/>
            <w:hideMark/>
          </w:tcPr>
          <w:p w14:paraId="12FED49D"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1502" w:type="dxa"/>
            <w:tcBorders>
              <w:top w:val="nil"/>
              <w:left w:val="nil"/>
              <w:bottom w:val="nil"/>
              <w:right w:val="nil"/>
            </w:tcBorders>
            <w:shd w:val="clear" w:color="auto" w:fill="auto"/>
            <w:noWrap/>
            <w:vAlign w:val="bottom"/>
            <w:hideMark/>
          </w:tcPr>
          <w:p w14:paraId="552F49AD"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1236" w:type="dxa"/>
            <w:tcBorders>
              <w:top w:val="nil"/>
              <w:left w:val="nil"/>
              <w:bottom w:val="nil"/>
              <w:right w:val="nil"/>
            </w:tcBorders>
            <w:shd w:val="clear" w:color="auto" w:fill="auto"/>
            <w:noWrap/>
            <w:vAlign w:val="bottom"/>
            <w:hideMark/>
          </w:tcPr>
          <w:p w14:paraId="122A45FF"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3</w:t>
            </w:r>
          </w:p>
        </w:tc>
        <w:tc>
          <w:tcPr>
            <w:tcW w:w="1360" w:type="dxa"/>
            <w:tcBorders>
              <w:top w:val="nil"/>
              <w:left w:val="nil"/>
              <w:bottom w:val="nil"/>
              <w:right w:val="nil"/>
            </w:tcBorders>
            <w:shd w:val="clear" w:color="auto" w:fill="auto"/>
            <w:noWrap/>
            <w:vAlign w:val="bottom"/>
            <w:hideMark/>
          </w:tcPr>
          <w:p w14:paraId="7ACBFA6F"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w:t>
            </w:r>
          </w:p>
        </w:tc>
        <w:tc>
          <w:tcPr>
            <w:tcW w:w="921" w:type="dxa"/>
            <w:tcBorders>
              <w:top w:val="nil"/>
              <w:left w:val="nil"/>
              <w:bottom w:val="nil"/>
              <w:right w:val="nil"/>
            </w:tcBorders>
            <w:shd w:val="clear" w:color="auto" w:fill="auto"/>
            <w:noWrap/>
            <w:vAlign w:val="bottom"/>
            <w:hideMark/>
          </w:tcPr>
          <w:p w14:paraId="7E537A5E" w14:textId="77777777" w:rsidR="00504E14" w:rsidRPr="00670221" w:rsidRDefault="00504E14" w:rsidP="00504E14">
            <w:pPr>
              <w:spacing w:before="0" w:after="0"/>
              <w:jc w:val="right"/>
              <w:rPr>
                <w:rFonts w:ascii="Aptos Narrow" w:eastAsia="Times New Roman" w:hAnsi="Aptos Narrow" w:cs="Times New Roman"/>
                <w:color w:val="000000"/>
                <w:kern w:val="0"/>
                <w:lang w:val="en-US" w:eastAsia="en-GB"/>
                <w14:ligatures w14:val="none"/>
              </w:rPr>
            </w:pPr>
            <w:r w:rsidRPr="00670221">
              <w:rPr>
                <w:rFonts w:ascii="Aptos Narrow" w:eastAsia="Times New Roman" w:hAnsi="Aptos Narrow" w:cs="Times New Roman"/>
                <w:color w:val="000000"/>
                <w:kern w:val="0"/>
                <w:lang w:val="en-US" w:eastAsia="en-GB"/>
                <w14:ligatures w14:val="none"/>
              </w:rPr>
              <w:t>20</w:t>
            </w:r>
          </w:p>
        </w:tc>
      </w:tr>
      <w:tr w:rsidR="00504E14" w:rsidRPr="00670221" w14:paraId="6841BD9D" w14:textId="77777777" w:rsidTr="00A45788">
        <w:trPr>
          <w:trHeight w:val="243"/>
        </w:trPr>
        <w:tc>
          <w:tcPr>
            <w:tcW w:w="2421" w:type="dxa"/>
            <w:tcBorders>
              <w:top w:val="single" w:sz="4" w:space="0" w:color="44B3E1"/>
              <w:left w:val="nil"/>
              <w:bottom w:val="nil"/>
              <w:right w:val="nil"/>
            </w:tcBorders>
            <w:shd w:val="clear" w:color="C0E6F5" w:fill="C0E6F5"/>
            <w:noWrap/>
            <w:vAlign w:val="bottom"/>
            <w:hideMark/>
          </w:tcPr>
          <w:p w14:paraId="4F92D949" w14:textId="77777777" w:rsidR="00504E14" w:rsidRPr="00670221" w:rsidRDefault="00504E14" w:rsidP="00504E14">
            <w:pPr>
              <w:spacing w:before="0" w:after="0"/>
              <w:jc w:val="lef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Grand Total</w:t>
            </w:r>
          </w:p>
        </w:tc>
        <w:tc>
          <w:tcPr>
            <w:tcW w:w="856" w:type="dxa"/>
            <w:tcBorders>
              <w:top w:val="single" w:sz="4" w:space="0" w:color="44B3E1"/>
              <w:left w:val="nil"/>
              <w:bottom w:val="nil"/>
              <w:right w:val="nil"/>
            </w:tcBorders>
            <w:shd w:val="clear" w:color="C0E6F5" w:fill="C0E6F5"/>
            <w:noWrap/>
            <w:vAlign w:val="bottom"/>
            <w:hideMark/>
          </w:tcPr>
          <w:p w14:paraId="4FA6B3D0"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80</w:t>
            </w:r>
          </w:p>
        </w:tc>
        <w:tc>
          <w:tcPr>
            <w:tcW w:w="1484" w:type="dxa"/>
            <w:tcBorders>
              <w:top w:val="single" w:sz="4" w:space="0" w:color="44B3E1"/>
              <w:left w:val="nil"/>
              <w:bottom w:val="nil"/>
              <w:right w:val="nil"/>
            </w:tcBorders>
            <w:shd w:val="clear" w:color="C0E6F5" w:fill="C0E6F5"/>
            <w:noWrap/>
            <w:vAlign w:val="bottom"/>
            <w:hideMark/>
          </w:tcPr>
          <w:p w14:paraId="494D1ACA"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31</w:t>
            </w:r>
          </w:p>
        </w:tc>
        <w:tc>
          <w:tcPr>
            <w:tcW w:w="990" w:type="dxa"/>
            <w:tcBorders>
              <w:top w:val="single" w:sz="4" w:space="0" w:color="44B3E1"/>
              <w:left w:val="nil"/>
              <w:bottom w:val="nil"/>
              <w:right w:val="nil"/>
            </w:tcBorders>
            <w:shd w:val="clear" w:color="C0E6F5" w:fill="C0E6F5"/>
            <w:noWrap/>
            <w:vAlign w:val="bottom"/>
            <w:hideMark/>
          </w:tcPr>
          <w:p w14:paraId="2E098443"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81</w:t>
            </w:r>
          </w:p>
        </w:tc>
        <w:tc>
          <w:tcPr>
            <w:tcW w:w="1178" w:type="dxa"/>
            <w:tcBorders>
              <w:top w:val="single" w:sz="4" w:space="0" w:color="44B3E1"/>
              <w:left w:val="nil"/>
              <w:bottom w:val="nil"/>
              <w:right w:val="nil"/>
            </w:tcBorders>
            <w:shd w:val="clear" w:color="C0E6F5" w:fill="C0E6F5"/>
            <w:noWrap/>
            <w:vAlign w:val="bottom"/>
            <w:hideMark/>
          </w:tcPr>
          <w:p w14:paraId="3E23BFC1"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82</w:t>
            </w:r>
          </w:p>
        </w:tc>
        <w:tc>
          <w:tcPr>
            <w:tcW w:w="1242" w:type="dxa"/>
            <w:tcBorders>
              <w:top w:val="single" w:sz="4" w:space="0" w:color="44B3E1"/>
              <w:left w:val="nil"/>
              <w:bottom w:val="nil"/>
              <w:right w:val="nil"/>
            </w:tcBorders>
            <w:shd w:val="clear" w:color="C0E6F5" w:fill="C0E6F5"/>
            <w:noWrap/>
            <w:vAlign w:val="bottom"/>
            <w:hideMark/>
          </w:tcPr>
          <w:p w14:paraId="7C80188A"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111</w:t>
            </w:r>
          </w:p>
        </w:tc>
        <w:tc>
          <w:tcPr>
            <w:tcW w:w="1194" w:type="dxa"/>
            <w:tcBorders>
              <w:top w:val="single" w:sz="4" w:space="0" w:color="44B3E1"/>
              <w:left w:val="nil"/>
              <w:bottom w:val="nil"/>
              <w:right w:val="nil"/>
            </w:tcBorders>
            <w:shd w:val="clear" w:color="C0E6F5" w:fill="C0E6F5"/>
            <w:noWrap/>
            <w:vAlign w:val="bottom"/>
            <w:hideMark/>
          </w:tcPr>
          <w:p w14:paraId="593A66A2"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52</w:t>
            </w:r>
          </w:p>
        </w:tc>
        <w:tc>
          <w:tcPr>
            <w:tcW w:w="1502" w:type="dxa"/>
            <w:tcBorders>
              <w:top w:val="single" w:sz="4" w:space="0" w:color="44B3E1"/>
              <w:left w:val="nil"/>
              <w:bottom w:val="nil"/>
              <w:right w:val="nil"/>
            </w:tcBorders>
            <w:shd w:val="clear" w:color="C0E6F5" w:fill="C0E6F5"/>
            <w:noWrap/>
            <w:vAlign w:val="bottom"/>
            <w:hideMark/>
          </w:tcPr>
          <w:p w14:paraId="30804279"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63</w:t>
            </w:r>
          </w:p>
        </w:tc>
        <w:tc>
          <w:tcPr>
            <w:tcW w:w="1236" w:type="dxa"/>
            <w:tcBorders>
              <w:top w:val="single" w:sz="4" w:space="0" w:color="44B3E1"/>
              <w:left w:val="nil"/>
              <w:bottom w:val="nil"/>
              <w:right w:val="nil"/>
            </w:tcBorders>
            <w:shd w:val="clear" w:color="C0E6F5" w:fill="C0E6F5"/>
            <w:noWrap/>
            <w:vAlign w:val="bottom"/>
            <w:hideMark/>
          </w:tcPr>
          <w:p w14:paraId="4382EBD5"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90</w:t>
            </w:r>
          </w:p>
        </w:tc>
        <w:tc>
          <w:tcPr>
            <w:tcW w:w="1360" w:type="dxa"/>
            <w:tcBorders>
              <w:top w:val="single" w:sz="4" w:space="0" w:color="44B3E1"/>
              <w:left w:val="nil"/>
              <w:bottom w:val="nil"/>
              <w:right w:val="nil"/>
            </w:tcBorders>
            <w:shd w:val="clear" w:color="C0E6F5" w:fill="C0E6F5"/>
            <w:noWrap/>
            <w:vAlign w:val="bottom"/>
            <w:hideMark/>
          </w:tcPr>
          <w:p w14:paraId="109E15FC"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20</w:t>
            </w:r>
          </w:p>
        </w:tc>
        <w:tc>
          <w:tcPr>
            <w:tcW w:w="921" w:type="dxa"/>
            <w:tcBorders>
              <w:top w:val="single" w:sz="4" w:space="0" w:color="44B3E1"/>
              <w:left w:val="nil"/>
              <w:bottom w:val="nil"/>
              <w:right w:val="nil"/>
            </w:tcBorders>
            <w:shd w:val="clear" w:color="C0E6F5" w:fill="C0E6F5"/>
            <w:noWrap/>
            <w:vAlign w:val="bottom"/>
            <w:hideMark/>
          </w:tcPr>
          <w:p w14:paraId="1BBE2297" w14:textId="77777777" w:rsidR="00504E14" w:rsidRPr="00670221" w:rsidRDefault="00504E14" w:rsidP="00504E14">
            <w:pPr>
              <w:spacing w:before="0" w:after="0"/>
              <w:jc w:val="right"/>
              <w:rPr>
                <w:rFonts w:ascii="Aptos Narrow" w:eastAsia="Times New Roman" w:hAnsi="Aptos Narrow" w:cs="Times New Roman"/>
                <w:b/>
                <w:bCs/>
                <w:color w:val="000000"/>
                <w:kern w:val="0"/>
                <w:lang w:val="en-US" w:eastAsia="en-GB"/>
                <w14:ligatures w14:val="none"/>
              </w:rPr>
            </w:pPr>
            <w:r w:rsidRPr="00670221">
              <w:rPr>
                <w:rFonts w:ascii="Aptos Narrow" w:eastAsia="Times New Roman" w:hAnsi="Aptos Narrow" w:cs="Times New Roman"/>
                <w:b/>
                <w:bCs/>
                <w:color w:val="000000"/>
                <w:kern w:val="0"/>
                <w:lang w:val="en-US" w:eastAsia="en-GB"/>
                <w14:ligatures w14:val="none"/>
              </w:rPr>
              <w:t>610</w:t>
            </w:r>
          </w:p>
        </w:tc>
      </w:tr>
    </w:tbl>
    <w:p w14:paraId="6BE31D4A" w14:textId="757C4724" w:rsidR="00A45788" w:rsidRPr="00670221" w:rsidRDefault="00A45788" w:rsidP="00A45788">
      <w:pPr>
        <w:spacing w:before="0" w:after="0"/>
        <w:jc w:val="left"/>
        <w:rPr>
          <w:rFonts w:cstheme="minorHAnsi"/>
          <w:b/>
          <w:bCs/>
          <w:kern w:val="0"/>
          <w:lang w:val="en-US"/>
        </w:rPr>
        <w:sectPr w:rsidR="00A45788" w:rsidRPr="00670221" w:rsidSect="00A45788">
          <w:pgSz w:w="16838" w:h="11906" w:orient="landscape"/>
          <w:pgMar w:top="1440" w:right="1440" w:bottom="1440" w:left="1440" w:header="708" w:footer="708" w:gutter="0"/>
          <w:cols w:space="708"/>
          <w:docGrid w:linePitch="360"/>
        </w:sectPr>
      </w:pPr>
    </w:p>
    <w:p w14:paraId="2026B7F3" w14:textId="73143765" w:rsidR="00A45788" w:rsidRPr="00670221" w:rsidRDefault="00A45788" w:rsidP="00A45788">
      <w:pPr>
        <w:tabs>
          <w:tab w:val="left" w:pos="2851"/>
        </w:tabs>
        <w:rPr>
          <w:rFonts w:cstheme="minorHAnsi"/>
          <w:lang w:val="en-US"/>
        </w:rPr>
        <w:sectPr w:rsidR="00A45788" w:rsidRPr="00670221" w:rsidSect="00504E14">
          <w:pgSz w:w="16838" w:h="11906" w:orient="landscape"/>
          <w:pgMar w:top="1440" w:right="1440" w:bottom="1440" w:left="1440" w:header="708" w:footer="708" w:gutter="0"/>
          <w:cols w:space="708"/>
          <w:docGrid w:linePitch="360"/>
        </w:sectPr>
      </w:pPr>
    </w:p>
    <w:p w14:paraId="05C3E27D" w14:textId="77777777" w:rsidR="00CE1AAA" w:rsidRPr="00670221" w:rsidRDefault="00CE1AAA" w:rsidP="00CE1AAA">
      <w:pPr>
        <w:rPr>
          <w:rFonts w:cstheme="minorHAnsi"/>
          <w:b/>
          <w:bCs/>
          <w:kern w:val="0"/>
          <w:lang w:val="en-US"/>
        </w:rPr>
      </w:pPr>
      <w:r w:rsidRPr="00670221">
        <w:rPr>
          <w:rFonts w:cstheme="minorHAnsi"/>
          <w:b/>
          <w:bCs/>
          <w:kern w:val="0"/>
          <w:lang w:val="en-US"/>
        </w:rPr>
        <w:lastRenderedPageBreak/>
        <w:t>Appendix H:</w:t>
      </w:r>
    </w:p>
    <w:p w14:paraId="5489B61E" w14:textId="77777777" w:rsidR="00545398" w:rsidRPr="00670221" w:rsidRDefault="00CE1AAA" w:rsidP="00545398">
      <w:pPr>
        <w:keepNext/>
        <w:jc w:val="center"/>
        <w:rPr>
          <w:lang w:val="en-US"/>
        </w:rPr>
      </w:pPr>
      <w:r w:rsidRPr="00670221">
        <w:rPr>
          <w:noProof/>
          <w:lang w:val="en-US"/>
        </w:rPr>
        <w:drawing>
          <wp:inline distT="0" distB="0" distL="0" distR="0" wp14:anchorId="0380681B" wp14:editId="702674ED">
            <wp:extent cx="3600000" cy="3600000"/>
            <wp:effectExtent l="0" t="0" r="0" b="0"/>
            <wp:docPr id="244740905" name="Picture 1" descr="A graph showing a number of different types of cost break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0905" name="Picture 1" descr="A graph showing a number of different types of cost breakdown&#10;&#10;Description automatically generated with medium confidence"/>
                    <pic:cNvPicPr/>
                  </pic:nvPicPr>
                  <pic:blipFill>
                    <a:blip r:embed="rId187"/>
                    <a:stretch>
                      <a:fillRect/>
                    </a:stretch>
                  </pic:blipFill>
                  <pic:spPr>
                    <a:xfrm>
                      <a:off x="0" y="0"/>
                      <a:ext cx="3600000" cy="3600000"/>
                    </a:xfrm>
                    <a:prstGeom prst="rect">
                      <a:avLst/>
                    </a:prstGeom>
                  </pic:spPr>
                </pic:pic>
              </a:graphicData>
            </a:graphic>
          </wp:inline>
        </w:drawing>
      </w:r>
    </w:p>
    <w:p w14:paraId="60D0F270" w14:textId="77604041" w:rsidR="00CE1AAA" w:rsidRPr="00670221" w:rsidRDefault="00545398" w:rsidP="00545398">
      <w:pPr>
        <w:pStyle w:val="Caption"/>
        <w:rPr>
          <w:lang w:val="en-US"/>
        </w:rPr>
      </w:pPr>
      <w:bookmarkStart w:id="136" w:name="_Toc184403573"/>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2</w:t>
      </w:r>
      <w:r w:rsidR="002A3EA2" w:rsidRPr="00670221">
        <w:rPr>
          <w:lang w:val="en-US"/>
        </w:rPr>
        <w:fldChar w:fldCharType="end"/>
      </w:r>
      <w:r w:rsidRPr="00670221">
        <w:rPr>
          <w:lang w:val="en-US"/>
        </w:rPr>
        <w:t xml:space="preserve">: Normalized cost breakdown for PEM + RWGS + FT synthesis with DAC </w:t>
      </w:r>
      <w:r w:rsidR="00113E3C" w:rsidRPr="00670221">
        <w:rPr>
          <w:lang w:val="en-US"/>
        </w:rPr>
        <w:t>CO₂</w:t>
      </w:r>
      <w:r w:rsidRPr="00670221">
        <w:rPr>
          <w:lang w:val="en-US"/>
        </w:rPr>
        <w:t xml:space="preserve"> in 2024, 2035 and 2050. Costs include CAPEX (dark) and OPEX (light) for Electrolysis (blue), </w:t>
      </w:r>
      <w:r w:rsidR="00113E3C" w:rsidRPr="00670221">
        <w:rPr>
          <w:lang w:val="en-US"/>
        </w:rPr>
        <w:t>CO₂</w:t>
      </w:r>
      <w:r w:rsidRPr="00670221">
        <w:rPr>
          <w:lang w:val="en-US"/>
        </w:rPr>
        <w:t xml:space="preserve"> (orange) and fuel synthesis (green).</w:t>
      </w:r>
      <w:bookmarkEnd w:id="136"/>
    </w:p>
    <w:p w14:paraId="1DFD0CA0" w14:textId="24EDBD24" w:rsidR="00545398" w:rsidRPr="00670221" w:rsidRDefault="00CE1AAA" w:rsidP="00545398">
      <w:pPr>
        <w:keepNext/>
        <w:jc w:val="center"/>
        <w:rPr>
          <w:lang w:val="en-US"/>
        </w:rPr>
      </w:pPr>
      <w:r w:rsidRPr="00670221">
        <w:rPr>
          <w:noProof/>
          <w:lang w:val="en-US"/>
        </w:rPr>
        <w:drawing>
          <wp:inline distT="0" distB="0" distL="0" distR="0" wp14:anchorId="0E608CE1" wp14:editId="2909530E">
            <wp:extent cx="3600000" cy="3600000"/>
            <wp:effectExtent l="0" t="0" r="0" b="0"/>
            <wp:docPr id="64323616" name="Picture 1" descr="A graph showing different types of cost break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3616" name="Picture 1" descr="A graph showing different types of cost breakdown&#10;&#10;Description automatically generated"/>
                    <pic:cNvPicPr/>
                  </pic:nvPicPr>
                  <pic:blipFill>
                    <a:blip r:embed="rId188"/>
                    <a:stretch>
                      <a:fillRect/>
                    </a:stretch>
                  </pic:blipFill>
                  <pic:spPr>
                    <a:xfrm>
                      <a:off x="0" y="0"/>
                      <a:ext cx="3600000" cy="3600000"/>
                    </a:xfrm>
                    <a:prstGeom prst="rect">
                      <a:avLst/>
                    </a:prstGeom>
                  </pic:spPr>
                </pic:pic>
              </a:graphicData>
            </a:graphic>
          </wp:inline>
        </w:drawing>
      </w:r>
      <w:r w:rsidR="003B7D6E" w:rsidRPr="00670221">
        <w:rPr>
          <w:lang w:val="en-US"/>
        </w:rPr>
        <w:t xml:space="preserve"> </w:t>
      </w:r>
    </w:p>
    <w:p w14:paraId="34911033" w14:textId="73243259" w:rsidR="00CE1AAA" w:rsidRPr="00670221" w:rsidRDefault="00545398" w:rsidP="00545398">
      <w:pPr>
        <w:pStyle w:val="Caption"/>
        <w:rPr>
          <w:lang w:val="en-US"/>
        </w:rPr>
      </w:pPr>
      <w:bookmarkStart w:id="137" w:name="_Toc184403574"/>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3</w:t>
      </w:r>
      <w:r w:rsidR="002A3EA2" w:rsidRPr="00670221">
        <w:rPr>
          <w:lang w:val="en-US"/>
        </w:rPr>
        <w:fldChar w:fldCharType="end"/>
      </w:r>
      <w:r w:rsidRPr="00670221">
        <w:rPr>
          <w:lang w:val="en-US"/>
        </w:rPr>
        <w:t>: Normalized cost breakdown for S</w:t>
      </w:r>
      <w:r w:rsidR="00F52408" w:rsidRPr="00670221">
        <w:rPr>
          <w:lang w:val="en-US"/>
        </w:rPr>
        <w:t xml:space="preserve">unfire SOE </w:t>
      </w:r>
      <w:r w:rsidRPr="00670221">
        <w:rPr>
          <w:lang w:val="en-US"/>
        </w:rPr>
        <w:t xml:space="preserve">+ FT synthesis with DAC </w:t>
      </w:r>
      <w:r w:rsidR="00113E3C" w:rsidRPr="00670221">
        <w:rPr>
          <w:lang w:val="en-US"/>
        </w:rPr>
        <w:t>CO₂</w:t>
      </w:r>
      <w:r w:rsidRPr="00670221">
        <w:rPr>
          <w:lang w:val="en-US"/>
        </w:rPr>
        <w:t xml:space="preserve"> in 2024, 2035 and 2050. Costs include CAPEX (dark) and OPEX (light) for Electrolysis (blue), </w:t>
      </w:r>
      <w:r w:rsidR="00113E3C" w:rsidRPr="00670221">
        <w:rPr>
          <w:lang w:val="en-US"/>
        </w:rPr>
        <w:t>CO₂</w:t>
      </w:r>
      <w:r w:rsidRPr="00670221">
        <w:rPr>
          <w:lang w:val="en-US"/>
        </w:rPr>
        <w:t xml:space="preserve"> (orange) and fuel synthesis (green).</w:t>
      </w:r>
      <w:bookmarkEnd w:id="137"/>
    </w:p>
    <w:p w14:paraId="7B7572E6" w14:textId="7D8283C4" w:rsidR="00F52408" w:rsidRPr="00670221" w:rsidRDefault="003B7D6E" w:rsidP="00F52408">
      <w:pPr>
        <w:keepNext/>
        <w:jc w:val="center"/>
        <w:rPr>
          <w:lang w:val="en-US"/>
        </w:rPr>
      </w:pPr>
      <w:r w:rsidRPr="00670221">
        <w:rPr>
          <w:noProof/>
          <w:lang w:val="en-US"/>
        </w:rPr>
        <w:lastRenderedPageBreak/>
        <w:drawing>
          <wp:inline distT="0" distB="0" distL="0" distR="0" wp14:anchorId="11203EBB" wp14:editId="352B4484">
            <wp:extent cx="3600000" cy="3600000"/>
            <wp:effectExtent l="0" t="0" r="0" b="0"/>
            <wp:docPr id="343465006" name="Picture 1" descr="A graph of a number of cost breakdow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465006" name="Picture 1" descr="A graph of a number of cost breakdowns&#10;&#10;Description automatically generated"/>
                    <pic:cNvPicPr/>
                  </pic:nvPicPr>
                  <pic:blipFill>
                    <a:blip r:embed="rId189"/>
                    <a:stretch>
                      <a:fillRect/>
                    </a:stretch>
                  </pic:blipFill>
                  <pic:spPr>
                    <a:xfrm>
                      <a:off x="0" y="0"/>
                      <a:ext cx="3600000" cy="3600000"/>
                    </a:xfrm>
                    <a:prstGeom prst="rect">
                      <a:avLst/>
                    </a:prstGeom>
                  </pic:spPr>
                </pic:pic>
              </a:graphicData>
            </a:graphic>
          </wp:inline>
        </w:drawing>
      </w:r>
    </w:p>
    <w:p w14:paraId="4B385AD8" w14:textId="15433B23" w:rsidR="00CE1AAA" w:rsidRPr="00670221" w:rsidRDefault="00F52408" w:rsidP="00F52408">
      <w:pPr>
        <w:pStyle w:val="Caption"/>
        <w:rPr>
          <w:lang w:val="en-US"/>
        </w:rPr>
      </w:pPr>
      <w:bookmarkStart w:id="138" w:name="_Toc184403575"/>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4</w:t>
      </w:r>
      <w:r w:rsidR="002A3EA2" w:rsidRPr="00670221">
        <w:rPr>
          <w:lang w:val="en-US"/>
        </w:rPr>
        <w:fldChar w:fldCharType="end"/>
      </w:r>
      <w:r w:rsidRPr="00670221">
        <w:rPr>
          <w:lang w:val="en-US"/>
        </w:rPr>
        <w:t xml:space="preserve">: Normalized cost breakdown for </w:t>
      </w:r>
      <w:r w:rsidR="0067462C" w:rsidRPr="00670221">
        <w:rPr>
          <w:lang w:val="en-US"/>
        </w:rPr>
        <w:t>PEM</w:t>
      </w:r>
      <w:r w:rsidRPr="00670221">
        <w:rPr>
          <w:lang w:val="en-US"/>
        </w:rPr>
        <w:t xml:space="preserve"> + </w:t>
      </w:r>
      <w:r w:rsidR="0067462C" w:rsidRPr="00670221">
        <w:rPr>
          <w:lang w:val="en-US"/>
        </w:rPr>
        <w:t xml:space="preserve">RWGS + </w:t>
      </w:r>
      <w:r w:rsidRPr="00670221">
        <w:rPr>
          <w:lang w:val="en-US"/>
        </w:rPr>
        <w:t xml:space="preserve">FT synthesis with </w:t>
      </w:r>
      <w:r w:rsidR="0067462C" w:rsidRPr="00670221">
        <w:rPr>
          <w:lang w:val="en-US"/>
        </w:rPr>
        <w:t xml:space="preserve">Biogenic </w:t>
      </w:r>
      <w:r w:rsidR="00113E3C" w:rsidRPr="00670221">
        <w:rPr>
          <w:lang w:val="en-US"/>
        </w:rPr>
        <w:t>CO₂</w:t>
      </w:r>
      <w:r w:rsidRPr="00670221">
        <w:rPr>
          <w:lang w:val="en-US"/>
        </w:rPr>
        <w:t xml:space="preserve"> in 2024, 2035 and 2050. Costs include CAPEX (dark) and OPEX (light) for Electrolysis (blue), </w:t>
      </w:r>
      <w:r w:rsidR="00113E3C" w:rsidRPr="00670221">
        <w:rPr>
          <w:lang w:val="en-US"/>
        </w:rPr>
        <w:t>CO₂</w:t>
      </w:r>
      <w:r w:rsidRPr="00670221">
        <w:rPr>
          <w:lang w:val="en-US"/>
        </w:rPr>
        <w:t xml:space="preserve"> (orange) and fuel synthesis (green).</w:t>
      </w:r>
      <w:bookmarkEnd w:id="138"/>
    </w:p>
    <w:p w14:paraId="7207A89E" w14:textId="77777777" w:rsidR="0067462C" w:rsidRPr="00670221" w:rsidRDefault="00CE1AAA" w:rsidP="0067462C">
      <w:pPr>
        <w:keepNext/>
        <w:jc w:val="center"/>
        <w:rPr>
          <w:lang w:val="en-US"/>
        </w:rPr>
      </w:pPr>
      <w:r w:rsidRPr="00670221">
        <w:rPr>
          <w:noProof/>
          <w:lang w:val="en-US"/>
        </w:rPr>
        <w:drawing>
          <wp:inline distT="0" distB="0" distL="0" distR="0" wp14:anchorId="326D17B6" wp14:editId="1E337FE7">
            <wp:extent cx="3600000" cy="3600000"/>
            <wp:effectExtent l="0" t="0" r="0" b="0"/>
            <wp:docPr id="2067688572" name="Picture 1" descr="A graph showing the cost breakdown for a number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88572" name="Picture 1" descr="A graph showing the cost breakdown for a number of individuals&#10;&#10;Description automatically generated"/>
                    <pic:cNvPicPr/>
                  </pic:nvPicPr>
                  <pic:blipFill>
                    <a:blip r:embed="rId190"/>
                    <a:stretch>
                      <a:fillRect/>
                    </a:stretch>
                  </pic:blipFill>
                  <pic:spPr>
                    <a:xfrm>
                      <a:off x="0" y="0"/>
                      <a:ext cx="3600000" cy="3600000"/>
                    </a:xfrm>
                    <a:prstGeom prst="rect">
                      <a:avLst/>
                    </a:prstGeom>
                  </pic:spPr>
                </pic:pic>
              </a:graphicData>
            </a:graphic>
          </wp:inline>
        </w:drawing>
      </w:r>
    </w:p>
    <w:p w14:paraId="4C01FE2A" w14:textId="04E847CC" w:rsidR="00CE1AAA" w:rsidRPr="00670221" w:rsidRDefault="0067462C" w:rsidP="0067462C">
      <w:pPr>
        <w:pStyle w:val="Caption"/>
        <w:rPr>
          <w:lang w:val="en-US"/>
        </w:rPr>
      </w:pPr>
      <w:bookmarkStart w:id="139" w:name="_Toc184403576"/>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5</w:t>
      </w:r>
      <w:r w:rsidR="002A3EA2" w:rsidRPr="00670221">
        <w:rPr>
          <w:lang w:val="en-US"/>
        </w:rPr>
        <w:fldChar w:fldCharType="end"/>
      </w:r>
      <w:r w:rsidRPr="00670221">
        <w:rPr>
          <w:lang w:val="en-US"/>
        </w:rPr>
        <w:t>: Normalized cost breakdown for Sunfire SOE + FT synthesis with Biogenic</w:t>
      </w:r>
      <w:r w:rsidR="00113E3C" w:rsidRPr="00113E3C">
        <w:rPr>
          <w:lang w:val="en-US"/>
        </w:rPr>
        <w:t xml:space="preserve"> </w:t>
      </w:r>
      <w:r w:rsidR="00113E3C" w:rsidRPr="00670221">
        <w:rPr>
          <w:lang w:val="en-US"/>
        </w:rPr>
        <w:t>CO₂</w:t>
      </w:r>
      <w:r w:rsidRPr="00670221">
        <w:rPr>
          <w:lang w:val="en-US"/>
        </w:rPr>
        <w:t xml:space="preserve"> in 2024, 2035 and 2050. Costs include CAPEX (dark) and OPEX (light) for Electrolysis (blue), </w:t>
      </w:r>
      <w:r w:rsidR="00113E3C" w:rsidRPr="00670221">
        <w:rPr>
          <w:lang w:val="en-US"/>
        </w:rPr>
        <w:t>CO₂</w:t>
      </w:r>
      <w:r w:rsidRPr="00670221">
        <w:rPr>
          <w:lang w:val="en-US"/>
        </w:rPr>
        <w:t xml:space="preserve"> (orange) and fuel synthesis (green).</w:t>
      </w:r>
      <w:bookmarkEnd w:id="139"/>
    </w:p>
    <w:p w14:paraId="0F51305C" w14:textId="77777777" w:rsidR="00CE1AAA" w:rsidRPr="00670221" w:rsidRDefault="00CE1AAA">
      <w:pPr>
        <w:spacing w:before="0" w:after="0"/>
        <w:jc w:val="left"/>
        <w:rPr>
          <w:rFonts w:cstheme="minorHAnsi"/>
          <w:b/>
          <w:bCs/>
          <w:kern w:val="0"/>
          <w:lang w:val="en-US"/>
        </w:rPr>
      </w:pPr>
      <w:r w:rsidRPr="00670221">
        <w:rPr>
          <w:rFonts w:cstheme="minorHAnsi"/>
          <w:b/>
          <w:bCs/>
          <w:kern w:val="0"/>
          <w:lang w:val="en-US"/>
        </w:rPr>
        <w:br w:type="page"/>
      </w:r>
    </w:p>
    <w:p w14:paraId="6209F1D3" w14:textId="608C74A5" w:rsidR="00D61BD3" w:rsidRPr="00670221" w:rsidRDefault="001C02C8" w:rsidP="00504E14">
      <w:pPr>
        <w:autoSpaceDE w:val="0"/>
        <w:autoSpaceDN w:val="0"/>
        <w:adjustRightInd w:val="0"/>
        <w:spacing w:before="0" w:after="0"/>
        <w:jc w:val="left"/>
        <w:rPr>
          <w:rFonts w:cstheme="minorHAnsi"/>
          <w:kern w:val="0"/>
          <w:lang w:val="en-US"/>
        </w:rPr>
      </w:pPr>
      <w:r w:rsidRPr="00670221">
        <w:rPr>
          <w:rFonts w:cstheme="minorHAnsi"/>
          <w:b/>
          <w:bCs/>
          <w:kern w:val="0"/>
          <w:lang w:val="en-US"/>
        </w:rPr>
        <w:lastRenderedPageBreak/>
        <w:t xml:space="preserve">Appendix </w:t>
      </w:r>
      <w:r w:rsidR="00CE1AAA" w:rsidRPr="00670221">
        <w:rPr>
          <w:rFonts w:cstheme="minorHAnsi"/>
          <w:b/>
          <w:bCs/>
          <w:kern w:val="0"/>
          <w:lang w:val="en-US"/>
        </w:rPr>
        <w:t>I</w:t>
      </w:r>
      <w:r w:rsidRPr="00670221">
        <w:rPr>
          <w:rFonts w:cstheme="minorHAnsi"/>
          <w:b/>
          <w:bCs/>
          <w:kern w:val="0"/>
          <w:lang w:val="en-US"/>
        </w:rPr>
        <w:t>:</w:t>
      </w:r>
      <w:r w:rsidR="0097169F" w:rsidRPr="00670221">
        <w:rPr>
          <w:rFonts w:cstheme="minorHAnsi"/>
          <w:b/>
          <w:bCs/>
          <w:kern w:val="0"/>
          <w:lang w:val="en-US"/>
        </w:rPr>
        <w:t xml:space="preserve"> </w:t>
      </w:r>
      <w:r w:rsidR="00113E3C" w:rsidRPr="00670221">
        <w:rPr>
          <w:lang w:val="en-US"/>
        </w:rPr>
        <w:t>CO₂</w:t>
      </w:r>
      <w:r w:rsidR="0097169F" w:rsidRPr="00670221">
        <w:rPr>
          <w:rFonts w:cstheme="minorHAnsi"/>
          <w:kern w:val="0"/>
          <w:lang w:val="en-US"/>
        </w:rPr>
        <w:t xml:space="preserve"> prices for different scenarios</w:t>
      </w:r>
    </w:p>
    <w:p w14:paraId="0BCCCF91" w14:textId="77777777" w:rsidR="0097169F" w:rsidRPr="00670221" w:rsidRDefault="0097169F" w:rsidP="00504E14">
      <w:pPr>
        <w:autoSpaceDE w:val="0"/>
        <w:autoSpaceDN w:val="0"/>
        <w:adjustRightInd w:val="0"/>
        <w:spacing w:before="0" w:after="0"/>
        <w:jc w:val="left"/>
        <w:rPr>
          <w:rFonts w:cstheme="minorHAnsi"/>
          <w:kern w:val="0"/>
          <w:lang w:val="en-US"/>
        </w:rPr>
      </w:pPr>
    </w:p>
    <w:p w14:paraId="11979DB0" w14:textId="28B22E5E" w:rsidR="0094727A" w:rsidRPr="00670221" w:rsidRDefault="006C4BB0" w:rsidP="006C4BB0">
      <w:pPr>
        <w:keepNext/>
        <w:autoSpaceDE w:val="0"/>
        <w:autoSpaceDN w:val="0"/>
        <w:adjustRightInd w:val="0"/>
        <w:spacing w:before="0" w:after="0"/>
        <w:jc w:val="center"/>
        <w:rPr>
          <w:lang w:val="en-US"/>
        </w:rPr>
      </w:pPr>
      <w:r w:rsidRPr="00670221">
        <w:rPr>
          <w:noProof/>
          <w:lang w:val="en-US"/>
        </w:rPr>
        <w:drawing>
          <wp:inline distT="0" distB="0" distL="0" distR="0" wp14:anchorId="20947F5D" wp14:editId="005ECC97">
            <wp:extent cx="4340748" cy="2520000"/>
            <wp:effectExtent l="0" t="0" r="3175" b="0"/>
            <wp:docPr id="1856341670" name="Picture 1" descr="A graph showing different types of co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41670" name="Picture 1" descr="A graph showing different types of co2&#10;&#10;Description automatically generated"/>
                    <pic:cNvPicPr/>
                  </pic:nvPicPr>
                  <pic:blipFill>
                    <a:blip r:embed="rId191"/>
                    <a:stretch>
                      <a:fillRect/>
                    </a:stretch>
                  </pic:blipFill>
                  <pic:spPr>
                    <a:xfrm>
                      <a:off x="0" y="0"/>
                      <a:ext cx="4340748" cy="2520000"/>
                    </a:xfrm>
                    <a:prstGeom prst="rect">
                      <a:avLst/>
                    </a:prstGeom>
                  </pic:spPr>
                </pic:pic>
              </a:graphicData>
            </a:graphic>
          </wp:inline>
        </w:drawing>
      </w:r>
    </w:p>
    <w:p w14:paraId="1F94A4C1" w14:textId="18FB4157" w:rsidR="004542F5" w:rsidRPr="00670221" w:rsidRDefault="0094727A" w:rsidP="006C4BB0">
      <w:pPr>
        <w:pStyle w:val="Caption"/>
        <w:rPr>
          <w:lang w:val="en-US"/>
        </w:rPr>
      </w:pPr>
      <w:bookmarkStart w:id="140" w:name="_Toc184403577"/>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6</w:t>
      </w:r>
      <w:r w:rsidR="002A3EA2" w:rsidRPr="00670221">
        <w:rPr>
          <w:lang w:val="en-US"/>
        </w:rPr>
        <w:fldChar w:fldCharType="end"/>
      </w:r>
      <w:r w:rsidRPr="00670221">
        <w:rPr>
          <w:lang w:val="en-US"/>
        </w:rPr>
        <w:t xml:space="preserve">: </w:t>
      </w:r>
      <w:r w:rsidR="00113E3C" w:rsidRPr="00670221">
        <w:rPr>
          <w:lang w:val="en-US"/>
        </w:rPr>
        <w:t>CO₂</w:t>
      </w:r>
      <w:r w:rsidRPr="00670221">
        <w:rPr>
          <w:lang w:val="en-US"/>
        </w:rPr>
        <w:t xml:space="preserve"> cost comparison for thermal energy case with </w:t>
      </w:r>
      <w:proofErr w:type="spellStart"/>
      <w:r w:rsidRPr="00670221">
        <w:rPr>
          <w:lang w:val="en-US"/>
        </w:rPr>
        <w:t>MWhel</w:t>
      </w:r>
      <w:proofErr w:type="spellEnd"/>
      <w:r w:rsidRPr="00670221">
        <w:rPr>
          <w:lang w:val="en-US"/>
        </w:rPr>
        <w:t xml:space="preserve"> = €60,00 and </w:t>
      </w:r>
      <w:proofErr w:type="spellStart"/>
      <w:r w:rsidRPr="00670221">
        <w:rPr>
          <w:lang w:val="en-US"/>
        </w:rPr>
        <w:t>MWhth</w:t>
      </w:r>
      <w:proofErr w:type="spellEnd"/>
      <w:r w:rsidRPr="00670221">
        <w:rPr>
          <w:lang w:val="en-US"/>
        </w:rPr>
        <w:t xml:space="preserve"> = €10,00</w:t>
      </w:r>
      <w:bookmarkEnd w:id="140"/>
    </w:p>
    <w:p w14:paraId="6D35EFA2" w14:textId="5F7FFEC2" w:rsidR="004542F5" w:rsidRPr="00670221" w:rsidRDefault="006C4BB0" w:rsidP="006C4BB0">
      <w:pPr>
        <w:keepNext/>
        <w:autoSpaceDE w:val="0"/>
        <w:autoSpaceDN w:val="0"/>
        <w:adjustRightInd w:val="0"/>
        <w:spacing w:before="0" w:after="0"/>
        <w:jc w:val="center"/>
        <w:rPr>
          <w:lang w:val="en-US"/>
        </w:rPr>
      </w:pPr>
      <w:r w:rsidRPr="00670221">
        <w:rPr>
          <w:noProof/>
          <w:lang w:val="en-US"/>
        </w:rPr>
        <w:drawing>
          <wp:inline distT="0" distB="0" distL="0" distR="0" wp14:anchorId="3FAD1686" wp14:editId="1F0E7B6A">
            <wp:extent cx="4340748" cy="2520000"/>
            <wp:effectExtent l="0" t="0" r="3175" b="0"/>
            <wp:docPr id="504051114" name="Picture 1" descr="A graph showing different types of co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51114" name="Picture 1" descr="A graph showing different types of co2&#10;&#10;Description automatically generated"/>
                    <pic:cNvPicPr/>
                  </pic:nvPicPr>
                  <pic:blipFill>
                    <a:blip r:embed="rId192"/>
                    <a:stretch>
                      <a:fillRect/>
                    </a:stretch>
                  </pic:blipFill>
                  <pic:spPr>
                    <a:xfrm>
                      <a:off x="0" y="0"/>
                      <a:ext cx="4340748" cy="2520000"/>
                    </a:xfrm>
                    <a:prstGeom prst="rect">
                      <a:avLst/>
                    </a:prstGeom>
                  </pic:spPr>
                </pic:pic>
              </a:graphicData>
            </a:graphic>
          </wp:inline>
        </w:drawing>
      </w:r>
    </w:p>
    <w:p w14:paraId="61A080AF" w14:textId="49F53482" w:rsidR="00986E4E" w:rsidRPr="00670221" w:rsidRDefault="004542F5" w:rsidP="006C4BB0">
      <w:pPr>
        <w:pStyle w:val="Caption"/>
        <w:rPr>
          <w:lang w:val="en-US"/>
        </w:rPr>
      </w:pPr>
      <w:bookmarkStart w:id="141" w:name="_Toc184403578"/>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7</w:t>
      </w:r>
      <w:r w:rsidR="002A3EA2" w:rsidRPr="00670221">
        <w:rPr>
          <w:lang w:val="en-US"/>
        </w:rPr>
        <w:fldChar w:fldCharType="end"/>
      </w:r>
      <w:r w:rsidRPr="00670221">
        <w:rPr>
          <w:lang w:val="en-US"/>
        </w:rPr>
        <w:t xml:space="preserve">: </w:t>
      </w:r>
      <w:r w:rsidR="00113E3C" w:rsidRPr="00670221">
        <w:rPr>
          <w:lang w:val="en-US"/>
        </w:rPr>
        <w:t>CO₂</w:t>
      </w:r>
      <w:r w:rsidRPr="00670221">
        <w:rPr>
          <w:lang w:val="en-US"/>
        </w:rPr>
        <w:t xml:space="preserve"> cost comparison for higher bound electricity case with </w:t>
      </w:r>
      <w:proofErr w:type="spellStart"/>
      <w:r w:rsidRPr="00670221">
        <w:rPr>
          <w:lang w:val="en-US"/>
        </w:rPr>
        <w:t>MWhel</w:t>
      </w:r>
      <w:proofErr w:type="spellEnd"/>
      <w:r w:rsidRPr="00670221">
        <w:rPr>
          <w:lang w:val="en-US"/>
        </w:rPr>
        <w:t xml:space="preserve"> = €80,00 and </w:t>
      </w:r>
      <w:proofErr w:type="spellStart"/>
      <w:r w:rsidRPr="00670221">
        <w:rPr>
          <w:lang w:val="en-US"/>
        </w:rPr>
        <w:t>MWhth</w:t>
      </w:r>
      <w:proofErr w:type="spellEnd"/>
      <w:r w:rsidRPr="00670221">
        <w:rPr>
          <w:lang w:val="en-US"/>
        </w:rPr>
        <w:t xml:space="preserve"> = €00,00</w:t>
      </w:r>
      <w:bookmarkEnd w:id="141"/>
    </w:p>
    <w:p w14:paraId="4877492D" w14:textId="45DA26C2" w:rsidR="0094727A" w:rsidRPr="00670221" w:rsidRDefault="006C4BB0" w:rsidP="006C4BB0">
      <w:pPr>
        <w:keepNext/>
        <w:autoSpaceDE w:val="0"/>
        <w:autoSpaceDN w:val="0"/>
        <w:adjustRightInd w:val="0"/>
        <w:spacing w:before="0" w:after="0"/>
        <w:jc w:val="center"/>
        <w:rPr>
          <w:lang w:val="en-US"/>
        </w:rPr>
      </w:pPr>
      <w:r w:rsidRPr="00670221">
        <w:rPr>
          <w:noProof/>
          <w:lang w:val="en-US"/>
        </w:rPr>
        <w:drawing>
          <wp:inline distT="0" distB="0" distL="0" distR="0" wp14:anchorId="3CF2192D" wp14:editId="5121115E">
            <wp:extent cx="4340748" cy="2520000"/>
            <wp:effectExtent l="0" t="0" r="3175" b="0"/>
            <wp:docPr id="28503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3389" name=""/>
                    <pic:cNvPicPr/>
                  </pic:nvPicPr>
                  <pic:blipFill>
                    <a:blip r:embed="rId193"/>
                    <a:stretch>
                      <a:fillRect/>
                    </a:stretch>
                  </pic:blipFill>
                  <pic:spPr>
                    <a:xfrm>
                      <a:off x="0" y="0"/>
                      <a:ext cx="4340748" cy="2520000"/>
                    </a:xfrm>
                    <a:prstGeom prst="rect">
                      <a:avLst/>
                    </a:prstGeom>
                  </pic:spPr>
                </pic:pic>
              </a:graphicData>
            </a:graphic>
          </wp:inline>
        </w:drawing>
      </w:r>
    </w:p>
    <w:p w14:paraId="402B246E" w14:textId="22CE31C7" w:rsidR="00870090" w:rsidRPr="00670221" w:rsidRDefault="0094727A" w:rsidP="006C4BB0">
      <w:pPr>
        <w:pStyle w:val="Caption"/>
        <w:rPr>
          <w:rFonts w:cstheme="minorHAnsi"/>
          <w:b/>
          <w:bCs/>
          <w:kern w:val="0"/>
          <w:lang w:val="en-US"/>
        </w:rPr>
      </w:pPr>
      <w:bookmarkStart w:id="142" w:name="_Toc184403579"/>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8</w:t>
      </w:r>
      <w:r w:rsidR="002A3EA2" w:rsidRPr="00670221">
        <w:rPr>
          <w:lang w:val="en-US"/>
        </w:rPr>
        <w:fldChar w:fldCharType="end"/>
      </w:r>
      <w:r w:rsidRPr="00670221">
        <w:rPr>
          <w:lang w:val="en-US"/>
        </w:rPr>
        <w:t xml:space="preserve">: </w:t>
      </w:r>
      <w:r w:rsidR="00113E3C" w:rsidRPr="00670221">
        <w:rPr>
          <w:lang w:val="en-US"/>
        </w:rPr>
        <w:t>CO₂</w:t>
      </w:r>
      <w:r w:rsidRPr="00670221">
        <w:rPr>
          <w:lang w:val="en-US"/>
        </w:rPr>
        <w:t xml:space="preserve"> cost comparison for lower bound electricity case with </w:t>
      </w:r>
      <w:proofErr w:type="spellStart"/>
      <w:r w:rsidRPr="00670221">
        <w:rPr>
          <w:lang w:val="en-US"/>
        </w:rPr>
        <w:t>MWhel</w:t>
      </w:r>
      <w:proofErr w:type="spellEnd"/>
      <w:r w:rsidRPr="00670221">
        <w:rPr>
          <w:lang w:val="en-US"/>
        </w:rPr>
        <w:t xml:space="preserve"> = €40,00 and </w:t>
      </w:r>
      <w:proofErr w:type="spellStart"/>
      <w:r w:rsidRPr="00670221">
        <w:rPr>
          <w:lang w:val="en-US"/>
        </w:rPr>
        <w:t>MWhth</w:t>
      </w:r>
      <w:proofErr w:type="spellEnd"/>
      <w:r w:rsidRPr="00670221">
        <w:rPr>
          <w:lang w:val="en-US"/>
        </w:rPr>
        <w:t xml:space="preserve"> = €00,00</w:t>
      </w:r>
      <w:bookmarkEnd w:id="142"/>
    </w:p>
    <w:p w14:paraId="0734C2A9" w14:textId="4DC84F7D" w:rsidR="0094727A" w:rsidRPr="00670221" w:rsidRDefault="006C4BB0" w:rsidP="006C4BB0">
      <w:pPr>
        <w:keepNext/>
        <w:autoSpaceDE w:val="0"/>
        <w:autoSpaceDN w:val="0"/>
        <w:adjustRightInd w:val="0"/>
        <w:spacing w:before="0" w:after="0"/>
        <w:jc w:val="center"/>
        <w:rPr>
          <w:lang w:val="en-US"/>
        </w:rPr>
      </w:pPr>
      <w:r w:rsidRPr="00670221">
        <w:rPr>
          <w:noProof/>
          <w:lang w:val="en-US"/>
        </w:rPr>
        <w:lastRenderedPageBreak/>
        <w:drawing>
          <wp:inline distT="0" distB="0" distL="0" distR="0" wp14:anchorId="25EEEDD7" wp14:editId="59D2668D">
            <wp:extent cx="4340748" cy="2520000"/>
            <wp:effectExtent l="0" t="0" r="3175" b="0"/>
            <wp:docPr id="969035904" name="Picture 1" descr="A graph showing the number of co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35904" name="Picture 1" descr="A graph showing the number of co2&#10;&#10;Description automatically generated"/>
                    <pic:cNvPicPr/>
                  </pic:nvPicPr>
                  <pic:blipFill>
                    <a:blip r:embed="rId194"/>
                    <a:stretch>
                      <a:fillRect/>
                    </a:stretch>
                  </pic:blipFill>
                  <pic:spPr>
                    <a:xfrm>
                      <a:off x="0" y="0"/>
                      <a:ext cx="4340748" cy="2520000"/>
                    </a:xfrm>
                    <a:prstGeom prst="rect">
                      <a:avLst/>
                    </a:prstGeom>
                  </pic:spPr>
                </pic:pic>
              </a:graphicData>
            </a:graphic>
          </wp:inline>
        </w:drawing>
      </w:r>
    </w:p>
    <w:p w14:paraId="1858627F" w14:textId="6E103AEA" w:rsidR="00614773" w:rsidRPr="00670221" w:rsidRDefault="0094727A" w:rsidP="006C4BB0">
      <w:pPr>
        <w:pStyle w:val="Caption"/>
        <w:rPr>
          <w:rFonts w:cstheme="minorHAnsi"/>
          <w:b/>
          <w:bCs/>
          <w:kern w:val="0"/>
          <w:lang w:val="en-US"/>
        </w:rPr>
      </w:pPr>
      <w:bookmarkStart w:id="143" w:name="_Toc184403580"/>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9</w:t>
      </w:r>
      <w:r w:rsidR="002A3EA2" w:rsidRPr="00670221">
        <w:rPr>
          <w:lang w:val="en-US"/>
        </w:rPr>
        <w:fldChar w:fldCharType="end"/>
      </w:r>
      <w:r w:rsidRPr="00670221">
        <w:rPr>
          <w:lang w:val="en-US"/>
        </w:rPr>
        <w:t xml:space="preserve">: </w:t>
      </w:r>
      <w:r w:rsidR="00113E3C" w:rsidRPr="00670221">
        <w:rPr>
          <w:lang w:val="en-US"/>
        </w:rPr>
        <w:t>CO₂</w:t>
      </w:r>
      <w:r w:rsidRPr="00670221">
        <w:rPr>
          <w:lang w:val="en-US"/>
        </w:rPr>
        <w:t xml:space="preserve"> cost comparison for EU ETS sensitivity analysis: upper bound</w:t>
      </w:r>
      <w:bookmarkEnd w:id="143"/>
    </w:p>
    <w:p w14:paraId="010D305C" w14:textId="54576AEC" w:rsidR="00CD2D7D" w:rsidRPr="00670221" w:rsidRDefault="006C4BB0" w:rsidP="006C4BB0">
      <w:pPr>
        <w:keepNext/>
        <w:autoSpaceDE w:val="0"/>
        <w:autoSpaceDN w:val="0"/>
        <w:adjustRightInd w:val="0"/>
        <w:spacing w:before="0" w:after="0"/>
        <w:jc w:val="center"/>
        <w:rPr>
          <w:lang w:val="en-US"/>
        </w:rPr>
      </w:pPr>
      <w:r w:rsidRPr="00670221">
        <w:rPr>
          <w:noProof/>
          <w:lang w:val="en-US"/>
        </w:rPr>
        <w:drawing>
          <wp:inline distT="0" distB="0" distL="0" distR="0" wp14:anchorId="5E1E96A6" wp14:editId="1E8BC2AD">
            <wp:extent cx="4340748" cy="2520000"/>
            <wp:effectExtent l="0" t="0" r="3175" b="0"/>
            <wp:docPr id="1637435191" name="Picture 1" descr="A graph showing different types of co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35191" name="Picture 1" descr="A graph showing different types of co2&#10;&#10;Description automatically generated"/>
                    <pic:cNvPicPr/>
                  </pic:nvPicPr>
                  <pic:blipFill>
                    <a:blip r:embed="rId195"/>
                    <a:stretch>
                      <a:fillRect/>
                    </a:stretch>
                  </pic:blipFill>
                  <pic:spPr>
                    <a:xfrm>
                      <a:off x="0" y="0"/>
                      <a:ext cx="4340748" cy="2520000"/>
                    </a:xfrm>
                    <a:prstGeom prst="rect">
                      <a:avLst/>
                    </a:prstGeom>
                  </pic:spPr>
                </pic:pic>
              </a:graphicData>
            </a:graphic>
          </wp:inline>
        </w:drawing>
      </w:r>
    </w:p>
    <w:p w14:paraId="74E57914" w14:textId="687B4EEA" w:rsidR="002266DC" w:rsidRPr="00670221" w:rsidRDefault="00CD2D7D" w:rsidP="006C4BB0">
      <w:pPr>
        <w:pStyle w:val="Caption"/>
        <w:rPr>
          <w:lang w:val="en-US"/>
        </w:rPr>
      </w:pPr>
      <w:bookmarkStart w:id="144" w:name="_Toc184403581"/>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10</w:t>
      </w:r>
      <w:r w:rsidR="002A3EA2" w:rsidRPr="00670221">
        <w:rPr>
          <w:lang w:val="en-US"/>
        </w:rPr>
        <w:fldChar w:fldCharType="end"/>
      </w:r>
      <w:r w:rsidRPr="00670221">
        <w:rPr>
          <w:lang w:val="en-US"/>
        </w:rPr>
        <w:t xml:space="preserve">: </w:t>
      </w:r>
      <w:r w:rsidR="00113E3C" w:rsidRPr="00670221">
        <w:rPr>
          <w:lang w:val="en-US"/>
        </w:rPr>
        <w:t>CO₂</w:t>
      </w:r>
      <w:r w:rsidRPr="00670221">
        <w:rPr>
          <w:lang w:val="en-US"/>
        </w:rPr>
        <w:t xml:space="preserve"> cost comparison for EU ETS sensitivity analysis: lower bound</w:t>
      </w:r>
      <w:bookmarkEnd w:id="144"/>
    </w:p>
    <w:p w14:paraId="74912461" w14:textId="642CB266" w:rsidR="002266DC" w:rsidRPr="00670221" w:rsidRDefault="006C4BB0" w:rsidP="006C4BB0">
      <w:pPr>
        <w:keepNext/>
        <w:jc w:val="center"/>
        <w:rPr>
          <w:lang w:val="en-US"/>
        </w:rPr>
      </w:pPr>
      <w:r w:rsidRPr="00670221">
        <w:rPr>
          <w:noProof/>
          <w:lang w:val="en-US"/>
        </w:rPr>
        <w:drawing>
          <wp:inline distT="0" distB="0" distL="0" distR="0" wp14:anchorId="5C20B850" wp14:editId="7781A8EA">
            <wp:extent cx="4357379" cy="2520000"/>
            <wp:effectExtent l="0" t="0" r="0" b="0"/>
            <wp:docPr id="744313049" name="Picture 1" descr="A graph showing different types of bi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13049" name="Picture 1" descr="A graph showing different types of bionics&#10;&#10;Description automatically generated"/>
                    <pic:cNvPicPr/>
                  </pic:nvPicPr>
                  <pic:blipFill>
                    <a:blip r:embed="rId196"/>
                    <a:stretch>
                      <a:fillRect/>
                    </a:stretch>
                  </pic:blipFill>
                  <pic:spPr>
                    <a:xfrm>
                      <a:off x="0" y="0"/>
                      <a:ext cx="4357379" cy="2520000"/>
                    </a:xfrm>
                    <a:prstGeom prst="rect">
                      <a:avLst/>
                    </a:prstGeom>
                  </pic:spPr>
                </pic:pic>
              </a:graphicData>
            </a:graphic>
          </wp:inline>
        </w:drawing>
      </w:r>
    </w:p>
    <w:p w14:paraId="349508BB" w14:textId="76B8D25C" w:rsidR="00470A22" w:rsidRPr="00670221" w:rsidRDefault="002266DC" w:rsidP="006C4BB0">
      <w:pPr>
        <w:pStyle w:val="Caption"/>
        <w:rPr>
          <w:lang w:val="en-US"/>
        </w:rPr>
      </w:pPr>
      <w:bookmarkStart w:id="145" w:name="_Toc184403582"/>
      <w:r w:rsidRPr="00670221">
        <w:rPr>
          <w:lang w:val="en-US"/>
        </w:rPr>
        <w:t xml:space="preserve">Figure </w:t>
      </w:r>
      <w:r w:rsidR="002A3EA2" w:rsidRPr="00670221">
        <w:rPr>
          <w:lang w:val="en-US"/>
        </w:rPr>
        <w:fldChar w:fldCharType="begin"/>
      </w:r>
      <w:r w:rsidR="002A3EA2" w:rsidRPr="00670221">
        <w:rPr>
          <w:lang w:val="en-US"/>
        </w:rPr>
        <w:instrText xml:space="preserve"> STYLEREF 1 \s </w:instrText>
      </w:r>
      <w:r w:rsidR="002A3EA2" w:rsidRPr="00670221">
        <w:rPr>
          <w:lang w:val="en-US"/>
        </w:rPr>
        <w:fldChar w:fldCharType="separate"/>
      </w:r>
      <w:r w:rsidR="002A3EA2" w:rsidRPr="00670221">
        <w:rPr>
          <w:lang w:val="en-US"/>
        </w:rPr>
        <w:t>8</w:t>
      </w:r>
      <w:r w:rsidR="002A3EA2" w:rsidRPr="00670221">
        <w:rPr>
          <w:lang w:val="en-US"/>
        </w:rPr>
        <w:fldChar w:fldCharType="end"/>
      </w:r>
      <w:r w:rsidR="002A3EA2" w:rsidRPr="00670221">
        <w:rPr>
          <w:lang w:val="en-US"/>
        </w:rPr>
        <w:t>.</w:t>
      </w:r>
      <w:r w:rsidR="002A3EA2" w:rsidRPr="00670221">
        <w:rPr>
          <w:lang w:val="en-US"/>
        </w:rPr>
        <w:fldChar w:fldCharType="begin"/>
      </w:r>
      <w:r w:rsidR="002A3EA2" w:rsidRPr="00670221">
        <w:rPr>
          <w:lang w:val="en-US"/>
        </w:rPr>
        <w:instrText xml:space="preserve"> SEQ Figure \* ARABIC \s 1 </w:instrText>
      </w:r>
      <w:r w:rsidR="002A3EA2" w:rsidRPr="00670221">
        <w:rPr>
          <w:lang w:val="en-US"/>
        </w:rPr>
        <w:fldChar w:fldCharType="separate"/>
      </w:r>
      <w:r w:rsidR="002A3EA2" w:rsidRPr="00670221">
        <w:rPr>
          <w:lang w:val="en-US"/>
        </w:rPr>
        <w:t>11</w:t>
      </w:r>
      <w:r w:rsidR="002A3EA2" w:rsidRPr="00670221">
        <w:rPr>
          <w:lang w:val="en-US"/>
        </w:rPr>
        <w:fldChar w:fldCharType="end"/>
      </w:r>
      <w:r w:rsidRPr="00670221">
        <w:rPr>
          <w:lang w:val="en-US"/>
        </w:rPr>
        <w:t xml:space="preserve">: </w:t>
      </w:r>
      <w:r w:rsidR="00113E3C" w:rsidRPr="00670221">
        <w:rPr>
          <w:lang w:val="en-US"/>
        </w:rPr>
        <w:t>CO₂</w:t>
      </w:r>
      <w:r w:rsidRPr="00670221">
        <w:rPr>
          <w:lang w:val="en-US"/>
        </w:rPr>
        <w:t xml:space="preserve"> cost comparison for intermittent electricity supply: 4000 operational hours</w:t>
      </w:r>
      <w:bookmarkEnd w:id="145"/>
    </w:p>
    <w:sectPr w:rsidR="00470A22" w:rsidRPr="00670221" w:rsidSect="00504E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CA3CF" w14:textId="77777777" w:rsidR="00715EE0" w:rsidRDefault="00715EE0" w:rsidP="00971748">
      <w:pPr>
        <w:spacing w:before="0" w:after="0"/>
      </w:pPr>
      <w:r>
        <w:separator/>
      </w:r>
    </w:p>
  </w:endnote>
  <w:endnote w:type="continuationSeparator" w:id="0">
    <w:p w14:paraId="397927E1" w14:textId="77777777" w:rsidR="00715EE0" w:rsidRDefault="00715EE0" w:rsidP="009717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76847984"/>
      <w:docPartObj>
        <w:docPartGallery w:val="Page Numbers (Bottom of Page)"/>
        <w:docPartUnique/>
      </w:docPartObj>
    </w:sdtPr>
    <w:sdtEndPr>
      <w:rPr>
        <w:rStyle w:val="PageNumber"/>
      </w:rPr>
    </w:sdtEndPr>
    <w:sdtContent>
      <w:p w14:paraId="5ECA04C7" w14:textId="1EABF0B7" w:rsidR="00616BEE" w:rsidRDefault="00616BEE" w:rsidP="00DD07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8A2576">
          <w:rPr>
            <w:rStyle w:val="PageNumber"/>
          </w:rPr>
          <w:fldChar w:fldCharType="separate"/>
        </w:r>
        <w:r w:rsidR="008A2576">
          <w:rPr>
            <w:rStyle w:val="PageNumber"/>
            <w:noProof/>
          </w:rPr>
          <w:t>VII</w:t>
        </w:r>
        <w:r w:rsidR="008A2576">
          <w:rPr>
            <w:rStyle w:val="PageNumber"/>
            <w:noProof/>
          </w:rPr>
          <w:t>I</w:t>
        </w:r>
        <w:r>
          <w:rPr>
            <w:rStyle w:val="PageNumber"/>
          </w:rPr>
          <w:fldChar w:fldCharType="end"/>
        </w:r>
      </w:p>
    </w:sdtContent>
  </w:sdt>
  <w:p w14:paraId="5E86A40B" w14:textId="77777777" w:rsidR="00E229D7" w:rsidRDefault="00E229D7" w:rsidP="00616B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7181589"/>
      <w:docPartObj>
        <w:docPartGallery w:val="Page Numbers (Bottom of Page)"/>
        <w:docPartUnique/>
      </w:docPartObj>
    </w:sdtPr>
    <w:sdtEndPr>
      <w:rPr>
        <w:rStyle w:val="PageNumber"/>
      </w:rPr>
    </w:sdtEndPr>
    <w:sdtContent>
      <w:p w14:paraId="63EF7E7D" w14:textId="71944113" w:rsidR="00616BEE" w:rsidRDefault="00616BEE" w:rsidP="00DD07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1830F3" w14:textId="77777777" w:rsidR="00F45FD8" w:rsidRDefault="00F45FD8" w:rsidP="00616BEE">
    <w:pPr>
      <w:pStyle w:val="Footer"/>
      <w:ind w:right="360"/>
    </w:pPr>
    <w:r>
      <w:fldChar w:fldCharType="begin"/>
    </w:r>
    <w:r>
      <w:instrText xml:space="preserve"> INCLUDEPICTURE "https://www.mediamatic.net/image/2016/12/14/undefined-624542607.png%28mediaclass-full-width.c3083fedae46a95f1139ff9d5833b1b6b8e20a69%29.jpg" \* MERGEFORMATINET </w:instrText>
    </w:r>
    <w:r>
      <w:fldChar w:fldCharType="separate"/>
    </w:r>
    <w:r>
      <w:rPr>
        <w:noProof/>
      </w:rPr>
      <w:drawing>
        <wp:inline distT="0" distB="0" distL="0" distR="0" wp14:anchorId="7F1A93AB" wp14:editId="39A00C92">
          <wp:extent cx="720000" cy="280800"/>
          <wp:effectExtent l="0" t="0" r="4445" b="0"/>
          <wp:docPr id="1182952457" name="Picture 5" descr="TU Delft logo - Media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 Delft logo - Mediamat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2808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71C67" w14:textId="77777777" w:rsidR="00715EE0" w:rsidRDefault="00715EE0" w:rsidP="00971748">
      <w:pPr>
        <w:spacing w:before="0" w:after="0"/>
      </w:pPr>
      <w:r>
        <w:separator/>
      </w:r>
    </w:p>
  </w:footnote>
  <w:footnote w:type="continuationSeparator" w:id="0">
    <w:p w14:paraId="782D4655" w14:textId="77777777" w:rsidR="00715EE0" w:rsidRDefault="00715EE0" w:rsidP="009717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B1967" w14:textId="77777777" w:rsidR="00C25E82" w:rsidRDefault="00C25E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925E4" w14:textId="77777777" w:rsidR="00B771FD" w:rsidRDefault="00B77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000002B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FFFFFFFF"/>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FFFFFFFF"/>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FFFFFFFF"/>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FFFFFFFF"/>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FFFFFFFF"/>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FFFFFFFF"/>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FFFFFFFF"/>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FFFFFFFF"/>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FFFFFFFF"/>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A"/>
    <w:multiLevelType w:val="hybridMultilevel"/>
    <w:tmpl w:val="FFFFFFFF"/>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B"/>
    <w:multiLevelType w:val="hybridMultilevel"/>
    <w:tmpl w:val="FFFFFFFF"/>
    <w:lvl w:ilvl="0" w:tplc="00000A29">
      <w:start w:val="1"/>
      <w:numFmt w:val="bullet"/>
      <w:lvlText w:val="•"/>
      <w:lvlJc w:val="left"/>
      <w:pPr>
        <w:ind w:left="720" w:hanging="360"/>
      </w:pPr>
    </w:lvl>
    <w:lvl w:ilvl="1" w:tplc="00000A2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C"/>
    <w:multiLevelType w:val="hybridMultilevel"/>
    <w:tmpl w:val="FFFFFFFF"/>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D"/>
    <w:multiLevelType w:val="hybridMultilevel"/>
    <w:tmpl w:val="FFFFFFFF"/>
    <w:lvl w:ilvl="0" w:tplc="00000AF1">
      <w:start w:val="1"/>
      <w:numFmt w:val="bullet"/>
      <w:lvlText w:val="•"/>
      <w:lvlJc w:val="left"/>
      <w:pPr>
        <w:ind w:left="720" w:hanging="360"/>
      </w:pPr>
    </w:lvl>
    <w:lvl w:ilvl="1" w:tplc="00000AF2">
      <w:start w:val="1"/>
      <w:numFmt w:val="bullet"/>
      <w:lvlText w:val="◦"/>
      <w:lvlJc w:val="left"/>
      <w:pPr>
        <w:ind w:left="1440" w:hanging="360"/>
      </w:pPr>
    </w:lvl>
    <w:lvl w:ilvl="2" w:tplc="00000AF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E"/>
    <w:multiLevelType w:val="hybridMultilevel"/>
    <w:tmpl w:val="FFFFFFFF"/>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1F"/>
    <w:multiLevelType w:val="hybridMultilevel"/>
    <w:tmpl w:val="FFFFFFFF"/>
    <w:lvl w:ilvl="0" w:tplc="00000BB9">
      <w:start w:val="1"/>
      <w:numFmt w:val="bullet"/>
      <w:lvlText w:val="•"/>
      <w:lvlJc w:val="left"/>
      <w:pPr>
        <w:ind w:left="720" w:hanging="360"/>
      </w:pPr>
    </w:lvl>
    <w:lvl w:ilvl="1" w:tplc="00000BB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20"/>
    <w:multiLevelType w:val="hybridMultilevel"/>
    <w:tmpl w:val="FFFFFFFF"/>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21"/>
    <w:multiLevelType w:val="hybridMultilevel"/>
    <w:tmpl w:val="FFFFFFFF"/>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22"/>
    <w:multiLevelType w:val="hybridMultilevel"/>
    <w:tmpl w:val="FFFFFFFF"/>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23"/>
    <w:multiLevelType w:val="hybridMultilevel"/>
    <w:tmpl w:val="FFFFFFFF"/>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24"/>
    <w:multiLevelType w:val="hybridMultilevel"/>
    <w:tmpl w:val="FFFFFFFF"/>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25"/>
    <w:multiLevelType w:val="hybridMultilevel"/>
    <w:tmpl w:val="FFFFFFFF"/>
    <w:lvl w:ilvl="0" w:tplc="00000E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26"/>
    <w:multiLevelType w:val="hybridMultilevel"/>
    <w:tmpl w:val="FFFFFFFF"/>
    <w:lvl w:ilvl="0" w:tplc="00000E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27"/>
    <w:multiLevelType w:val="hybridMultilevel"/>
    <w:tmpl w:val="FFFFFFFF"/>
    <w:lvl w:ilvl="0" w:tplc="00000E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28"/>
    <w:multiLevelType w:val="hybridMultilevel"/>
    <w:tmpl w:val="FFFFFFFF"/>
    <w:lvl w:ilvl="0" w:tplc="00000F3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029"/>
    <w:multiLevelType w:val="hybridMultilevel"/>
    <w:tmpl w:val="FFFFFFFF"/>
    <w:lvl w:ilvl="0" w:tplc="00000F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02A"/>
    <w:multiLevelType w:val="hybridMultilevel"/>
    <w:tmpl w:val="FFFFFFFF"/>
    <w:lvl w:ilvl="0" w:tplc="0000100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02B"/>
    <w:multiLevelType w:val="hybridMultilevel"/>
    <w:tmpl w:val="FFFFFFFF"/>
    <w:lvl w:ilvl="0" w:tplc="0000106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2703329"/>
    <w:multiLevelType w:val="hybridMultilevel"/>
    <w:tmpl w:val="B828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8611786"/>
    <w:multiLevelType w:val="hybridMultilevel"/>
    <w:tmpl w:val="6D82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1715BA0"/>
    <w:multiLevelType w:val="multilevel"/>
    <w:tmpl w:val="24E83A76"/>
    <w:styleLink w:val="CurrentList8"/>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6" w15:restartNumberingAfterBreak="0">
    <w:nsid w:val="1F647C8A"/>
    <w:multiLevelType w:val="hybridMultilevel"/>
    <w:tmpl w:val="4AE6C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1F73556"/>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44654CB"/>
    <w:multiLevelType w:val="multilevel"/>
    <w:tmpl w:val="0B7839CC"/>
    <w:styleLink w:val="CurrentList7"/>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9" w15:restartNumberingAfterBreak="0">
    <w:nsid w:val="28143CAF"/>
    <w:multiLevelType w:val="multilevel"/>
    <w:tmpl w:val="FAF06184"/>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BCC6C58"/>
    <w:multiLevelType w:val="hybridMultilevel"/>
    <w:tmpl w:val="6E8A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FD3618"/>
    <w:multiLevelType w:val="multilevel"/>
    <w:tmpl w:val="D2C4534A"/>
    <w:styleLink w:val="CurrentList1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2" w15:restartNumberingAfterBreak="0">
    <w:nsid w:val="34916934"/>
    <w:multiLevelType w:val="hybridMultilevel"/>
    <w:tmpl w:val="6CD4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B8177B3"/>
    <w:multiLevelType w:val="hybridMultilevel"/>
    <w:tmpl w:val="CB66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F235FE2"/>
    <w:multiLevelType w:val="multilevel"/>
    <w:tmpl w:val="24E83A76"/>
    <w:styleLink w:val="CurrentList5"/>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5" w15:restartNumberingAfterBreak="0">
    <w:nsid w:val="3FFD1B58"/>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6D80E79"/>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85D6A13"/>
    <w:multiLevelType w:val="multilevel"/>
    <w:tmpl w:val="EE20DFD6"/>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71C286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CD64BA5"/>
    <w:multiLevelType w:val="hybridMultilevel"/>
    <w:tmpl w:val="56625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A32A37"/>
    <w:multiLevelType w:val="hybridMultilevel"/>
    <w:tmpl w:val="82F4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FB5D68"/>
    <w:multiLevelType w:val="hybridMultilevel"/>
    <w:tmpl w:val="3B56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F96E6B"/>
    <w:multiLevelType w:val="hybridMultilevel"/>
    <w:tmpl w:val="8DBE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5F7195"/>
    <w:multiLevelType w:val="multilevel"/>
    <w:tmpl w:val="E3C8EC7A"/>
    <w:lvl w:ilvl="0">
      <w:start w:val="1"/>
      <w:numFmt w:val="decimal"/>
      <w:pStyle w:val="Heading1"/>
      <w:lvlText w:val="%1."/>
      <w:lvlJc w:val="left"/>
      <w:pPr>
        <w:ind w:left="480" w:hanging="480"/>
      </w:pPr>
      <w:rPr>
        <w:rFonts w:hint="default"/>
      </w:rPr>
    </w:lvl>
    <w:lvl w:ilvl="1">
      <w:start w:val="1"/>
      <w:numFmt w:val="decimal"/>
      <w:pStyle w:val="Heading2"/>
      <w:lvlText w:val="%1.%2."/>
      <w:lvlJc w:val="left"/>
      <w:pPr>
        <w:ind w:left="6957" w:hanging="720"/>
      </w:p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6BD2C5A"/>
    <w:multiLevelType w:val="hybridMultilevel"/>
    <w:tmpl w:val="7182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EB5688"/>
    <w:multiLevelType w:val="hybridMultilevel"/>
    <w:tmpl w:val="DA1C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4641D2"/>
    <w:multiLevelType w:val="hybridMultilevel"/>
    <w:tmpl w:val="65027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361E97"/>
    <w:multiLevelType w:val="hybridMultilevel"/>
    <w:tmpl w:val="876C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8025089">
    <w:abstractNumId w:val="57"/>
  </w:num>
  <w:num w:numId="2" w16cid:durableId="315380696">
    <w:abstractNumId w:val="58"/>
  </w:num>
  <w:num w:numId="3" w16cid:durableId="1934312830">
    <w:abstractNumId w:val="56"/>
  </w:num>
  <w:num w:numId="4" w16cid:durableId="824275736">
    <w:abstractNumId w:val="55"/>
  </w:num>
  <w:num w:numId="5" w16cid:durableId="754977476">
    <w:abstractNumId w:val="54"/>
  </w:num>
  <w:num w:numId="6" w16cid:durableId="1112674027">
    <w:abstractNumId w:val="49"/>
  </w:num>
  <w:num w:numId="7" w16cid:durableId="944650302">
    <w:abstractNumId w:val="48"/>
  </w:num>
  <w:num w:numId="8" w16cid:durableId="1416051219">
    <w:abstractNumId w:val="45"/>
  </w:num>
  <w:num w:numId="9" w16cid:durableId="49576728">
    <w:abstractNumId w:val="47"/>
  </w:num>
  <w:num w:numId="10" w16cid:durableId="1644237301">
    <w:abstractNumId w:val="51"/>
  </w:num>
  <w:num w:numId="11" w16cid:durableId="363478104">
    <w:abstractNumId w:val="63"/>
  </w:num>
  <w:num w:numId="12" w16cid:durableId="428817244">
    <w:abstractNumId w:val="65"/>
  </w:num>
  <w:num w:numId="13" w16cid:durableId="1968007909">
    <w:abstractNumId w:val="52"/>
  </w:num>
  <w:num w:numId="14" w16cid:durableId="1279071964">
    <w:abstractNumId w:val="46"/>
  </w:num>
  <w:num w:numId="15" w16cid:durableId="701322537">
    <w:abstractNumId w:val="53"/>
  </w:num>
  <w:num w:numId="16" w16cid:durableId="1077247634">
    <w:abstractNumId w:val="67"/>
  </w:num>
  <w:num w:numId="17" w16cid:durableId="1644115129">
    <w:abstractNumId w:val="59"/>
  </w:num>
  <w:num w:numId="18" w16cid:durableId="1435637732">
    <w:abstractNumId w:val="50"/>
  </w:num>
  <w:num w:numId="19" w16cid:durableId="820467403">
    <w:abstractNumId w:val="66"/>
  </w:num>
  <w:num w:numId="20" w16cid:durableId="1303346676">
    <w:abstractNumId w:val="0"/>
  </w:num>
  <w:num w:numId="21" w16cid:durableId="1330065088">
    <w:abstractNumId w:val="1"/>
  </w:num>
  <w:num w:numId="22" w16cid:durableId="1119451916">
    <w:abstractNumId w:val="2"/>
  </w:num>
  <w:num w:numId="23" w16cid:durableId="1264918994">
    <w:abstractNumId w:val="3"/>
  </w:num>
  <w:num w:numId="24" w16cid:durableId="1026522384">
    <w:abstractNumId w:val="4"/>
  </w:num>
  <w:num w:numId="25" w16cid:durableId="590550617">
    <w:abstractNumId w:val="5"/>
  </w:num>
  <w:num w:numId="26" w16cid:durableId="460803347">
    <w:abstractNumId w:val="6"/>
  </w:num>
  <w:num w:numId="27" w16cid:durableId="330523560">
    <w:abstractNumId w:val="7"/>
  </w:num>
  <w:num w:numId="28" w16cid:durableId="1981378722">
    <w:abstractNumId w:val="8"/>
  </w:num>
  <w:num w:numId="29" w16cid:durableId="1283532290">
    <w:abstractNumId w:val="9"/>
  </w:num>
  <w:num w:numId="30" w16cid:durableId="1582644433">
    <w:abstractNumId w:val="10"/>
  </w:num>
  <w:num w:numId="31" w16cid:durableId="1358193021">
    <w:abstractNumId w:val="11"/>
  </w:num>
  <w:num w:numId="32" w16cid:durableId="1374188921">
    <w:abstractNumId w:val="12"/>
  </w:num>
  <w:num w:numId="33" w16cid:durableId="2086488976">
    <w:abstractNumId w:val="13"/>
  </w:num>
  <w:num w:numId="34" w16cid:durableId="703097023">
    <w:abstractNumId w:val="14"/>
  </w:num>
  <w:num w:numId="35" w16cid:durableId="1088499109">
    <w:abstractNumId w:val="15"/>
  </w:num>
  <w:num w:numId="36" w16cid:durableId="1492016553">
    <w:abstractNumId w:val="16"/>
  </w:num>
  <w:num w:numId="37" w16cid:durableId="1912153375">
    <w:abstractNumId w:val="17"/>
  </w:num>
  <w:num w:numId="38" w16cid:durableId="1643122877">
    <w:abstractNumId w:val="18"/>
  </w:num>
  <w:num w:numId="39" w16cid:durableId="1341810793">
    <w:abstractNumId w:val="19"/>
  </w:num>
  <w:num w:numId="40" w16cid:durableId="1173183455">
    <w:abstractNumId w:val="20"/>
  </w:num>
  <w:num w:numId="41" w16cid:durableId="933903000">
    <w:abstractNumId w:val="21"/>
  </w:num>
  <w:num w:numId="42" w16cid:durableId="492647166">
    <w:abstractNumId w:val="22"/>
  </w:num>
  <w:num w:numId="43" w16cid:durableId="1907913068">
    <w:abstractNumId w:val="23"/>
  </w:num>
  <w:num w:numId="44" w16cid:durableId="378481741">
    <w:abstractNumId w:val="24"/>
  </w:num>
  <w:num w:numId="45" w16cid:durableId="1044908195">
    <w:abstractNumId w:val="25"/>
  </w:num>
  <w:num w:numId="46" w16cid:durableId="2017879144">
    <w:abstractNumId w:val="26"/>
  </w:num>
  <w:num w:numId="47" w16cid:durableId="957030543">
    <w:abstractNumId w:val="27"/>
  </w:num>
  <w:num w:numId="48" w16cid:durableId="1361473662">
    <w:abstractNumId w:val="28"/>
  </w:num>
  <w:num w:numId="49" w16cid:durableId="1475835199">
    <w:abstractNumId w:val="29"/>
  </w:num>
  <w:num w:numId="50" w16cid:durableId="1211575285">
    <w:abstractNumId w:val="30"/>
  </w:num>
  <w:num w:numId="51" w16cid:durableId="603616107">
    <w:abstractNumId w:val="31"/>
  </w:num>
  <w:num w:numId="52" w16cid:durableId="289020330">
    <w:abstractNumId w:val="32"/>
  </w:num>
  <w:num w:numId="53" w16cid:durableId="1450204837">
    <w:abstractNumId w:val="33"/>
  </w:num>
  <w:num w:numId="54" w16cid:durableId="721098347">
    <w:abstractNumId w:val="34"/>
  </w:num>
  <w:num w:numId="55" w16cid:durableId="1288126008">
    <w:abstractNumId w:val="35"/>
  </w:num>
  <w:num w:numId="56" w16cid:durableId="550192581">
    <w:abstractNumId w:val="36"/>
  </w:num>
  <w:num w:numId="57" w16cid:durableId="1613127867">
    <w:abstractNumId w:val="37"/>
  </w:num>
  <w:num w:numId="58" w16cid:durableId="722943900">
    <w:abstractNumId w:val="38"/>
  </w:num>
  <w:num w:numId="59" w16cid:durableId="1787942">
    <w:abstractNumId w:val="39"/>
  </w:num>
  <w:num w:numId="60" w16cid:durableId="542838027">
    <w:abstractNumId w:val="40"/>
  </w:num>
  <w:num w:numId="61" w16cid:durableId="542786425">
    <w:abstractNumId w:val="41"/>
  </w:num>
  <w:num w:numId="62" w16cid:durableId="882788248">
    <w:abstractNumId w:val="42"/>
  </w:num>
  <w:num w:numId="63" w16cid:durableId="1227378298">
    <w:abstractNumId w:val="64"/>
  </w:num>
  <w:num w:numId="64" w16cid:durableId="2006081474">
    <w:abstractNumId w:val="61"/>
  </w:num>
  <w:num w:numId="65" w16cid:durableId="1459764647">
    <w:abstractNumId w:val="62"/>
  </w:num>
  <w:num w:numId="66" w16cid:durableId="1869415357">
    <w:abstractNumId w:val="44"/>
  </w:num>
  <w:num w:numId="67" w16cid:durableId="82188905">
    <w:abstractNumId w:val="60"/>
  </w:num>
  <w:num w:numId="68" w16cid:durableId="66258623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92"/>
    <w:rsid w:val="000002D2"/>
    <w:rsid w:val="00000752"/>
    <w:rsid w:val="00000861"/>
    <w:rsid w:val="00000E9C"/>
    <w:rsid w:val="00001095"/>
    <w:rsid w:val="00001189"/>
    <w:rsid w:val="0000182B"/>
    <w:rsid w:val="00001D54"/>
    <w:rsid w:val="000021C6"/>
    <w:rsid w:val="000028A5"/>
    <w:rsid w:val="00002E57"/>
    <w:rsid w:val="00003467"/>
    <w:rsid w:val="00003615"/>
    <w:rsid w:val="00003AA7"/>
    <w:rsid w:val="00003B57"/>
    <w:rsid w:val="00004868"/>
    <w:rsid w:val="00006304"/>
    <w:rsid w:val="000067EC"/>
    <w:rsid w:val="00006CBD"/>
    <w:rsid w:val="00006CCD"/>
    <w:rsid w:val="00007079"/>
    <w:rsid w:val="000075A7"/>
    <w:rsid w:val="00007A21"/>
    <w:rsid w:val="00010218"/>
    <w:rsid w:val="000109D2"/>
    <w:rsid w:val="00011400"/>
    <w:rsid w:val="000119AA"/>
    <w:rsid w:val="00012178"/>
    <w:rsid w:val="000135D0"/>
    <w:rsid w:val="000143C7"/>
    <w:rsid w:val="0001456F"/>
    <w:rsid w:val="00014E3D"/>
    <w:rsid w:val="00016879"/>
    <w:rsid w:val="00016E6F"/>
    <w:rsid w:val="000173FC"/>
    <w:rsid w:val="00017570"/>
    <w:rsid w:val="00017884"/>
    <w:rsid w:val="0001799B"/>
    <w:rsid w:val="000179B2"/>
    <w:rsid w:val="000204D5"/>
    <w:rsid w:val="0002085E"/>
    <w:rsid w:val="000208F4"/>
    <w:rsid w:val="00020AD7"/>
    <w:rsid w:val="00021106"/>
    <w:rsid w:val="000213FD"/>
    <w:rsid w:val="000219D4"/>
    <w:rsid w:val="00021B21"/>
    <w:rsid w:val="00021B87"/>
    <w:rsid w:val="0002255F"/>
    <w:rsid w:val="00022735"/>
    <w:rsid w:val="0002274B"/>
    <w:rsid w:val="00022B05"/>
    <w:rsid w:val="000230D0"/>
    <w:rsid w:val="000232E8"/>
    <w:rsid w:val="000233CD"/>
    <w:rsid w:val="00023F57"/>
    <w:rsid w:val="00025867"/>
    <w:rsid w:val="0002734E"/>
    <w:rsid w:val="00027613"/>
    <w:rsid w:val="00030658"/>
    <w:rsid w:val="00030E46"/>
    <w:rsid w:val="00030EB6"/>
    <w:rsid w:val="00031466"/>
    <w:rsid w:val="00031A08"/>
    <w:rsid w:val="00031C60"/>
    <w:rsid w:val="00031E4E"/>
    <w:rsid w:val="00032223"/>
    <w:rsid w:val="00032C11"/>
    <w:rsid w:val="0003386E"/>
    <w:rsid w:val="000339FA"/>
    <w:rsid w:val="00033EFE"/>
    <w:rsid w:val="00033F3D"/>
    <w:rsid w:val="00034848"/>
    <w:rsid w:val="00034B24"/>
    <w:rsid w:val="000353AE"/>
    <w:rsid w:val="000357BA"/>
    <w:rsid w:val="00035A6D"/>
    <w:rsid w:val="00035B15"/>
    <w:rsid w:val="00035DDF"/>
    <w:rsid w:val="00036060"/>
    <w:rsid w:val="0003662E"/>
    <w:rsid w:val="000368FA"/>
    <w:rsid w:val="000371F8"/>
    <w:rsid w:val="0003750B"/>
    <w:rsid w:val="00037A45"/>
    <w:rsid w:val="00037D95"/>
    <w:rsid w:val="00040554"/>
    <w:rsid w:val="00040872"/>
    <w:rsid w:val="00040995"/>
    <w:rsid w:val="00040C12"/>
    <w:rsid w:val="000418D5"/>
    <w:rsid w:val="000420AA"/>
    <w:rsid w:val="00042398"/>
    <w:rsid w:val="0004239A"/>
    <w:rsid w:val="000426BB"/>
    <w:rsid w:val="0004359B"/>
    <w:rsid w:val="00043EE3"/>
    <w:rsid w:val="0004437F"/>
    <w:rsid w:val="000444EF"/>
    <w:rsid w:val="000447C2"/>
    <w:rsid w:val="00044994"/>
    <w:rsid w:val="00044FD0"/>
    <w:rsid w:val="000450A4"/>
    <w:rsid w:val="000454BA"/>
    <w:rsid w:val="00045A25"/>
    <w:rsid w:val="00045F41"/>
    <w:rsid w:val="0004610D"/>
    <w:rsid w:val="0004749B"/>
    <w:rsid w:val="00047745"/>
    <w:rsid w:val="00047DCA"/>
    <w:rsid w:val="000506E8"/>
    <w:rsid w:val="00050AD3"/>
    <w:rsid w:val="00051032"/>
    <w:rsid w:val="0005146F"/>
    <w:rsid w:val="00051B4A"/>
    <w:rsid w:val="00051D33"/>
    <w:rsid w:val="00052205"/>
    <w:rsid w:val="00053525"/>
    <w:rsid w:val="00053618"/>
    <w:rsid w:val="00054308"/>
    <w:rsid w:val="000543C5"/>
    <w:rsid w:val="00054B0A"/>
    <w:rsid w:val="00055344"/>
    <w:rsid w:val="000562F5"/>
    <w:rsid w:val="00056879"/>
    <w:rsid w:val="000568C0"/>
    <w:rsid w:val="00057211"/>
    <w:rsid w:val="0005735F"/>
    <w:rsid w:val="00060300"/>
    <w:rsid w:val="000607E7"/>
    <w:rsid w:val="000607E8"/>
    <w:rsid w:val="000609D5"/>
    <w:rsid w:val="00060ACF"/>
    <w:rsid w:val="00060DF6"/>
    <w:rsid w:val="000618CC"/>
    <w:rsid w:val="00061BA1"/>
    <w:rsid w:val="000626F5"/>
    <w:rsid w:val="00062FC9"/>
    <w:rsid w:val="0006332E"/>
    <w:rsid w:val="0006348D"/>
    <w:rsid w:val="000634AC"/>
    <w:rsid w:val="00063AAB"/>
    <w:rsid w:val="0006486C"/>
    <w:rsid w:val="00064ACF"/>
    <w:rsid w:val="00064DCA"/>
    <w:rsid w:val="00064E36"/>
    <w:rsid w:val="00065832"/>
    <w:rsid w:val="00065AA8"/>
    <w:rsid w:val="000663BD"/>
    <w:rsid w:val="00070090"/>
    <w:rsid w:val="00070D58"/>
    <w:rsid w:val="0007118C"/>
    <w:rsid w:val="00071812"/>
    <w:rsid w:val="000725E3"/>
    <w:rsid w:val="000725F3"/>
    <w:rsid w:val="00072853"/>
    <w:rsid w:val="0007351C"/>
    <w:rsid w:val="0007361A"/>
    <w:rsid w:val="000747A0"/>
    <w:rsid w:val="000762B7"/>
    <w:rsid w:val="00076CDB"/>
    <w:rsid w:val="00077012"/>
    <w:rsid w:val="000771DA"/>
    <w:rsid w:val="000774ED"/>
    <w:rsid w:val="000778C4"/>
    <w:rsid w:val="00077D27"/>
    <w:rsid w:val="0008074F"/>
    <w:rsid w:val="00081A90"/>
    <w:rsid w:val="000827F6"/>
    <w:rsid w:val="00082B1D"/>
    <w:rsid w:val="000831AD"/>
    <w:rsid w:val="00083C90"/>
    <w:rsid w:val="000840A0"/>
    <w:rsid w:val="000846F1"/>
    <w:rsid w:val="000847A0"/>
    <w:rsid w:val="00084CB3"/>
    <w:rsid w:val="00085108"/>
    <w:rsid w:val="000856BA"/>
    <w:rsid w:val="00085806"/>
    <w:rsid w:val="00085808"/>
    <w:rsid w:val="00085925"/>
    <w:rsid w:val="000869A7"/>
    <w:rsid w:val="00086AAF"/>
    <w:rsid w:val="0008785D"/>
    <w:rsid w:val="00087F04"/>
    <w:rsid w:val="00087F2E"/>
    <w:rsid w:val="00087FB7"/>
    <w:rsid w:val="0009047E"/>
    <w:rsid w:val="000908F5"/>
    <w:rsid w:val="00090BC4"/>
    <w:rsid w:val="000923D1"/>
    <w:rsid w:val="00093226"/>
    <w:rsid w:val="000933E8"/>
    <w:rsid w:val="000941B9"/>
    <w:rsid w:val="000945A0"/>
    <w:rsid w:val="000946CD"/>
    <w:rsid w:val="00095071"/>
    <w:rsid w:val="00095EBC"/>
    <w:rsid w:val="00096412"/>
    <w:rsid w:val="00096857"/>
    <w:rsid w:val="000969F8"/>
    <w:rsid w:val="00096A0F"/>
    <w:rsid w:val="00096EC6"/>
    <w:rsid w:val="0009768C"/>
    <w:rsid w:val="000979FA"/>
    <w:rsid w:val="00097A02"/>
    <w:rsid w:val="000A02CD"/>
    <w:rsid w:val="000A10F8"/>
    <w:rsid w:val="000A1D89"/>
    <w:rsid w:val="000A2314"/>
    <w:rsid w:val="000A24D7"/>
    <w:rsid w:val="000A27B9"/>
    <w:rsid w:val="000A2DE8"/>
    <w:rsid w:val="000A3824"/>
    <w:rsid w:val="000A3929"/>
    <w:rsid w:val="000A3F5E"/>
    <w:rsid w:val="000A3FEE"/>
    <w:rsid w:val="000A4DE6"/>
    <w:rsid w:val="000A4F91"/>
    <w:rsid w:val="000A4FF2"/>
    <w:rsid w:val="000A5185"/>
    <w:rsid w:val="000A5700"/>
    <w:rsid w:val="000A5DE1"/>
    <w:rsid w:val="000A6632"/>
    <w:rsid w:val="000A67BE"/>
    <w:rsid w:val="000A68D4"/>
    <w:rsid w:val="000B0214"/>
    <w:rsid w:val="000B0C71"/>
    <w:rsid w:val="000B0D1D"/>
    <w:rsid w:val="000B11AE"/>
    <w:rsid w:val="000B1840"/>
    <w:rsid w:val="000B2B54"/>
    <w:rsid w:val="000B2C68"/>
    <w:rsid w:val="000B2FC8"/>
    <w:rsid w:val="000B506F"/>
    <w:rsid w:val="000B55AC"/>
    <w:rsid w:val="000B5C6F"/>
    <w:rsid w:val="000B6AA1"/>
    <w:rsid w:val="000B6E70"/>
    <w:rsid w:val="000B6E9C"/>
    <w:rsid w:val="000C08DE"/>
    <w:rsid w:val="000C0F73"/>
    <w:rsid w:val="000C14D1"/>
    <w:rsid w:val="000C20D8"/>
    <w:rsid w:val="000C2A18"/>
    <w:rsid w:val="000C33FD"/>
    <w:rsid w:val="000C3D44"/>
    <w:rsid w:val="000C3FA8"/>
    <w:rsid w:val="000C452C"/>
    <w:rsid w:val="000C5053"/>
    <w:rsid w:val="000C505D"/>
    <w:rsid w:val="000C56CA"/>
    <w:rsid w:val="000C5789"/>
    <w:rsid w:val="000C5ADE"/>
    <w:rsid w:val="000C6213"/>
    <w:rsid w:val="000C64AD"/>
    <w:rsid w:val="000C6762"/>
    <w:rsid w:val="000C7313"/>
    <w:rsid w:val="000C7B73"/>
    <w:rsid w:val="000C7D76"/>
    <w:rsid w:val="000D0258"/>
    <w:rsid w:val="000D0744"/>
    <w:rsid w:val="000D076E"/>
    <w:rsid w:val="000D0A3A"/>
    <w:rsid w:val="000D0C4B"/>
    <w:rsid w:val="000D1359"/>
    <w:rsid w:val="000D1FAF"/>
    <w:rsid w:val="000D2943"/>
    <w:rsid w:val="000D2CD0"/>
    <w:rsid w:val="000D345F"/>
    <w:rsid w:val="000D377E"/>
    <w:rsid w:val="000D3913"/>
    <w:rsid w:val="000D3BA5"/>
    <w:rsid w:val="000D3FF0"/>
    <w:rsid w:val="000D41DE"/>
    <w:rsid w:val="000D43AA"/>
    <w:rsid w:val="000D4468"/>
    <w:rsid w:val="000D4B58"/>
    <w:rsid w:val="000D508C"/>
    <w:rsid w:val="000D55C8"/>
    <w:rsid w:val="000D5867"/>
    <w:rsid w:val="000D5AA6"/>
    <w:rsid w:val="000D5FE2"/>
    <w:rsid w:val="000D6010"/>
    <w:rsid w:val="000D6173"/>
    <w:rsid w:val="000D6659"/>
    <w:rsid w:val="000D72B1"/>
    <w:rsid w:val="000D7743"/>
    <w:rsid w:val="000D7E27"/>
    <w:rsid w:val="000E0EC1"/>
    <w:rsid w:val="000E1305"/>
    <w:rsid w:val="000E1613"/>
    <w:rsid w:val="000E17C8"/>
    <w:rsid w:val="000E18C5"/>
    <w:rsid w:val="000E2290"/>
    <w:rsid w:val="000E250E"/>
    <w:rsid w:val="000E27A7"/>
    <w:rsid w:val="000E28F9"/>
    <w:rsid w:val="000E404B"/>
    <w:rsid w:val="000E4C0E"/>
    <w:rsid w:val="000E56DB"/>
    <w:rsid w:val="000E64D2"/>
    <w:rsid w:val="000E67A2"/>
    <w:rsid w:val="000E6EF6"/>
    <w:rsid w:val="000E7B4D"/>
    <w:rsid w:val="000F027B"/>
    <w:rsid w:val="000F03A8"/>
    <w:rsid w:val="000F0430"/>
    <w:rsid w:val="000F0618"/>
    <w:rsid w:val="000F067B"/>
    <w:rsid w:val="000F0800"/>
    <w:rsid w:val="000F0901"/>
    <w:rsid w:val="000F0C9C"/>
    <w:rsid w:val="000F0FEA"/>
    <w:rsid w:val="000F1135"/>
    <w:rsid w:val="000F1589"/>
    <w:rsid w:val="000F1C15"/>
    <w:rsid w:val="000F1C88"/>
    <w:rsid w:val="000F26CD"/>
    <w:rsid w:val="000F2A6B"/>
    <w:rsid w:val="000F2B11"/>
    <w:rsid w:val="000F34B6"/>
    <w:rsid w:val="000F3790"/>
    <w:rsid w:val="000F3BAB"/>
    <w:rsid w:val="000F469D"/>
    <w:rsid w:val="000F49B8"/>
    <w:rsid w:val="000F4BEB"/>
    <w:rsid w:val="000F4EBF"/>
    <w:rsid w:val="000F4FD9"/>
    <w:rsid w:val="000F519D"/>
    <w:rsid w:val="000F69BD"/>
    <w:rsid w:val="000F6B58"/>
    <w:rsid w:val="000F7135"/>
    <w:rsid w:val="000F722E"/>
    <w:rsid w:val="000F753D"/>
    <w:rsid w:val="000F7600"/>
    <w:rsid w:val="000F77ED"/>
    <w:rsid w:val="000F7EA0"/>
    <w:rsid w:val="00100626"/>
    <w:rsid w:val="00100D5D"/>
    <w:rsid w:val="001010B4"/>
    <w:rsid w:val="00101BEC"/>
    <w:rsid w:val="00101BFB"/>
    <w:rsid w:val="00101D56"/>
    <w:rsid w:val="001021F0"/>
    <w:rsid w:val="00102E9A"/>
    <w:rsid w:val="00103077"/>
    <w:rsid w:val="0010313E"/>
    <w:rsid w:val="00103302"/>
    <w:rsid w:val="00103C41"/>
    <w:rsid w:val="00103F00"/>
    <w:rsid w:val="001045A0"/>
    <w:rsid w:val="0010577C"/>
    <w:rsid w:val="00105F86"/>
    <w:rsid w:val="001063F4"/>
    <w:rsid w:val="00106B09"/>
    <w:rsid w:val="00106D9F"/>
    <w:rsid w:val="00106EFB"/>
    <w:rsid w:val="00107E3B"/>
    <w:rsid w:val="001109B3"/>
    <w:rsid w:val="00110B1B"/>
    <w:rsid w:val="001114CE"/>
    <w:rsid w:val="0011319C"/>
    <w:rsid w:val="00113CD7"/>
    <w:rsid w:val="00113E3C"/>
    <w:rsid w:val="00113F3E"/>
    <w:rsid w:val="00114B22"/>
    <w:rsid w:val="0011615B"/>
    <w:rsid w:val="001169FE"/>
    <w:rsid w:val="00117052"/>
    <w:rsid w:val="00117106"/>
    <w:rsid w:val="00117425"/>
    <w:rsid w:val="001179BB"/>
    <w:rsid w:val="00117A83"/>
    <w:rsid w:val="00117AC6"/>
    <w:rsid w:val="001202E3"/>
    <w:rsid w:val="00120A43"/>
    <w:rsid w:val="00121B61"/>
    <w:rsid w:val="001231D3"/>
    <w:rsid w:val="00123708"/>
    <w:rsid w:val="00123C20"/>
    <w:rsid w:val="00123E74"/>
    <w:rsid w:val="00123F04"/>
    <w:rsid w:val="001240D4"/>
    <w:rsid w:val="00124BD1"/>
    <w:rsid w:val="00125AF7"/>
    <w:rsid w:val="001263E8"/>
    <w:rsid w:val="00126518"/>
    <w:rsid w:val="0012654A"/>
    <w:rsid w:val="00126C4D"/>
    <w:rsid w:val="0012703D"/>
    <w:rsid w:val="001272AF"/>
    <w:rsid w:val="001273D5"/>
    <w:rsid w:val="001275E6"/>
    <w:rsid w:val="00127702"/>
    <w:rsid w:val="00127A25"/>
    <w:rsid w:val="00127BEE"/>
    <w:rsid w:val="0013008F"/>
    <w:rsid w:val="0013112A"/>
    <w:rsid w:val="00131B38"/>
    <w:rsid w:val="00131D58"/>
    <w:rsid w:val="001320D9"/>
    <w:rsid w:val="0013253B"/>
    <w:rsid w:val="00132D1A"/>
    <w:rsid w:val="00133078"/>
    <w:rsid w:val="00133CAE"/>
    <w:rsid w:val="00133D78"/>
    <w:rsid w:val="0013400B"/>
    <w:rsid w:val="001341FA"/>
    <w:rsid w:val="00134697"/>
    <w:rsid w:val="00134878"/>
    <w:rsid w:val="00134909"/>
    <w:rsid w:val="00134BB6"/>
    <w:rsid w:val="00134D4F"/>
    <w:rsid w:val="00134D5C"/>
    <w:rsid w:val="0013527A"/>
    <w:rsid w:val="00135A9F"/>
    <w:rsid w:val="00137C34"/>
    <w:rsid w:val="00137D86"/>
    <w:rsid w:val="001406E9"/>
    <w:rsid w:val="00140AE1"/>
    <w:rsid w:val="00140D2D"/>
    <w:rsid w:val="00141199"/>
    <w:rsid w:val="001419C8"/>
    <w:rsid w:val="00141BEF"/>
    <w:rsid w:val="00142720"/>
    <w:rsid w:val="00142BE4"/>
    <w:rsid w:val="001430F7"/>
    <w:rsid w:val="001434A4"/>
    <w:rsid w:val="0014506C"/>
    <w:rsid w:val="001450FD"/>
    <w:rsid w:val="00145305"/>
    <w:rsid w:val="00145E6D"/>
    <w:rsid w:val="00145EB1"/>
    <w:rsid w:val="00145FD7"/>
    <w:rsid w:val="0014625F"/>
    <w:rsid w:val="0014636C"/>
    <w:rsid w:val="00147037"/>
    <w:rsid w:val="00147827"/>
    <w:rsid w:val="00147C16"/>
    <w:rsid w:val="001501AA"/>
    <w:rsid w:val="00150260"/>
    <w:rsid w:val="0015050F"/>
    <w:rsid w:val="00150A7B"/>
    <w:rsid w:val="00150ADB"/>
    <w:rsid w:val="00150C41"/>
    <w:rsid w:val="001513EE"/>
    <w:rsid w:val="001518ED"/>
    <w:rsid w:val="00151AED"/>
    <w:rsid w:val="00151D86"/>
    <w:rsid w:val="0015265E"/>
    <w:rsid w:val="00152F71"/>
    <w:rsid w:val="00152FBE"/>
    <w:rsid w:val="00153BE6"/>
    <w:rsid w:val="0015411B"/>
    <w:rsid w:val="00154192"/>
    <w:rsid w:val="001542EE"/>
    <w:rsid w:val="00154ED7"/>
    <w:rsid w:val="001556B7"/>
    <w:rsid w:val="00155840"/>
    <w:rsid w:val="00155847"/>
    <w:rsid w:val="00155887"/>
    <w:rsid w:val="00155A41"/>
    <w:rsid w:val="00155A59"/>
    <w:rsid w:val="00155BF6"/>
    <w:rsid w:val="00155DE0"/>
    <w:rsid w:val="0015623E"/>
    <w:rsid w:val="0015655D"/>
    <w:rsid w:val="00156BDE"/>
    <w:rsid w:val="00157145"/>
    <w:rsid w:val="00160003"/>
    <w:rsid w:val="0016060F"/>
    <w:rsid w:val="00160650"/>
    <w:rsid w:val="00160CE3"/>
    <w:rsid w:val="001611DA"/>
    <w:rsid w:val="00161372"/>
    <w:rsid w:val="00161855"/>
    <w:rsid w:val="00161E7D"/>
    <w:rsid w:val="00162007"/>
    <w:rsid w:val="001623B7"/>
    <w:rsid w:val="0016387E"/>
    <w:rsid w:val="00163B51"/>
    <w:rsid w:val="00163B5D"/>
    <w:rsid w:val="00163B7A"/>
    <w:rsid w:val="00164EDB"/>
    <w:rsid w:val="00164FE1"/>
    <w:rsid w:val="0016501D"/>
    <w:rsid w:val="00165227"/>
    <w:rsid w:val="00165635"/>
    <w:rsid w:val="00165F7A"/>
    <w:rsid w:val="0016653C"/>
    <w:rsid w:val="00166F67"/>
    <w:rsid w:val="0016738C"/>
    <w:rsid w:val="001701FB"/>
    <w:rsid w:val="00170B6D"/>
    <w:rsid w:val="00170D41"/>
    <w:rsid w:val="0017123E"/>
    <w:rsid w:val="00171A5A"/>
    <w:rsid w:val="00172112"/>
    <w:rsid w:val="00172A43"/>
    <w:rsid w:val="00174196"/>
    <w:rsid w:val="00174301"/>
    <w:rsid w:val="001747E9"/>
    <w:rsid w:val="001747F8"/>
    <w:rsid w:val="001759CE"/>
    <w:rsid w:val="00175CCC"/>
    <w:rsid w:val="00175F65"/>
    <w:rsid w:val="0017682C"/>
    <w:rsid w:val="00176D77"/>
    <w:rsid w:val="0017701D"/>
    <w:rsid w:val="00177605"/>
    <w:rsid w:val="0017799F"/>
    <w:rsid w:val="001779E5"/>
    <w:rsid w:val="00177B47"/>
    <w:rsid w:val="001801F3"/>
    <w:rsid w:val="0018020A"/>
    <w:rsid w:val="0018023D"/>
    <w:rsid w:val="00180271"/>
    <w:rsid w:val="00180281"/>
    <w:rsid w:val="00180B86"/>
    <w:rsid w:val="00180E06"/>
    <w:rsid w:val="00180F0C"/>
    <w:rsid w:val="0018136C"/>
    <w:rsid w:val="001818E4"/>
    <w:rsid w:val="00181A65"/>
    <w:rsid w:val="0018271F"/>
    <w:rsid w:val="00182850"/>
    <w:rsid w:val="00182B2C"/>
    <w:rsid w:val="00182B55"/>
    <w:rsid w:val="0018301A"/>
    <w:rsid w:val="00183115"/>
    <w:rsid w:val="0018366E"/>
    <w:rsid w:val="00183910"/>
    <w:rsid w:val="0018397F"/>
    <w:rsid w:val="0018477C"/>
    <w:rsid w:val="00184B96"/>
    <w:rsid w:val="0018575F"/>
    <w:rsid w:val="0018652D"/>
    <w:rsid w:val="0018768F"/>
    <w:rsid w:val="00187AD6"/>
    <w:rsid w:val="00190DBA"/>
    <w:rsid w:val="00191093"/>
    <w:rsid w:val="001913C4"/>
    <w:rsid w:val="00191424"/>
    <w:rsid w:val="00191561"/>
    <w:rsid w:val="00191EAA"/>
    <w:rsid w:val="00191FF4"/>
    <w:rsid w:val="00192313"/>
    <w:rsid w:val="00192B21"/>
    <w:rsid w:val="00192D13"/>
    <w:rsid w:val="0019387F"/>
    <w:rsid w:val="00195CAE"/>
    <w:rsid w:val="00195FED"/>
    <w:rsid w:val="00196427"/>
    <w:rsid w:val="0019651A"/>
    <w:rsid w:val="00196536"/>
    <w:rsid w:val="00196783"/>
    <w:rsid w:val="00197CE9"/>
    <w:rsid w:val="00197E99"/>
    <w:rsid w:val="00197FD6"/>
    <w:rsid w:val="001A0037"/>
    <w:rsid w:val="001A0EF9"/>
    <w:rsid w:val="001A1127"/>
    <w:rsid w:val="001A1F80"/>
    <w:rsid w:val="001A229D"/>
    <w:rsid w:val="001A2633"/>
    <w:rsid w:val="001A278D"/>
    <w:rsid w:val="001A2DAE"/>
    <w:rsid w:val="001A3233"/>
    <w:rsid w:val="001A3469"/>
    <w:rsid w:val="001A3B9C"/>
    <w:rsid w:val="001A4BCD"/>
    <w:rsid w:val="001A5320"/>
    <w:rsid w:val="001A55EE"/>
    <w:rsid w:val="001A598A"/>
    <w:rsid w:val="001A5D6B"/>
    <w:rsid w:val="001A5DAF"/>
    <w:rsid w:val="001A657C"/>
    <w:rsid w:val="001A6908"/>
    <w:rsid w:val="001A740E"/>
    <w:rsid w:val="001A76A5"/>
    <w:rsid w:val="001A7A1C"/>
    <w:rsid w:val="001A7C6B"/>
    <w:rsid w:val="001B006B"/>
    <w:rsid w:val="001B073A"/>
    <w:rsid w:val="001B09EF"/>
    <w:rsid w:val="001B0F4B"/>
    <w:rsid w:val="001B1388"/>
    <w:rsid w:val="001B2424"/>
    <w:rsid w:val="001B276A"/>
    <w:rsid w:val="001B3F55"/>
    <w:rsid w:val="001B4329"/>
    <w:rsid w:val="001B4B50"/>
    <w:rsid w:val="001B54EF"/>
    <w:rsid w:val="001B635D"/>
    <w:rsid w:val="001B7053"/>
    <w:rsid w:val="001B746E"/>
    <w:rsid w:val="001B7775"/>
    <w:rsid w:val="001B77B3"/>
    <w:rsid w:val="001B7AF5"/>
    <w:rsid w:val="001B7ED7"/>
    <w:rsid w:val="001C02C8"/>
    <w:rsid w:val="001C0F30"/>
    <w:rsid w:val="001C10D3"/>
    <w:rsid w:val="001C13BB"/>
    <w:rsid w:val="001C1550"/>
    <w:rsid w:val="001C17C8"/>
    <w:rsid w:val="001C1C03"/>
    <w:rsid w:val="001C2622"/>
    <w:rsid w:val="001C2CDE"/>
    <w:rsid w:val="001C3482"/>
    <w:rsid w:val="001C3BBB"/>
    <w:rsid w:val="001C4510"/>
    <w:rsid w:val="001C4B0B"/>
    <w:rsid w:val="001C4FC9"/>
    <w:rsid w:val="001C50CE"/>
    <w:rsid w:val="001C520F"/>
    <w:rsid w:val="001C5577"/>
    <w:rsid w:val="001C57B5"/>
    <w:rsid w:val="001C6418"/>
    <w:rsid w:val="001C64AE"/>
    <w:rsid w:val="001C6A4A"/>
    <w:rsid w:val="001C6A9F"/>
    <w:rsid w:val="001C7204"/>
    <w:rsid w:val="001D02EA"/>
    <w:rsid w:val="001D081A"/>
    <w:rsid w:val="001D0C0E"/>
    <w:rsid w:val="001D3142"/>
    <w:rsid w:val="001D46A4"/>
    <w:rsid w:val="001D607F"/>
    <w:rsid w:val="001D6183"/>
    <w:rsid w:val="001D65AA"/>
    <w:rsid w:val="001D6F05"/>
    <w:rsid w:val="001D70EA"/>
    <w:rsid w:val="001D7311"/>
    <w:rsid w:val="001D7758"/>
    <w:rsid w:val="001D7985"/>
    <w:rsid w:val="001E020C"/>
    <w:rsid w:val="001E0C38"/>
    <w:rsid w:val="001E0CF3"/>
    <w:rsid w:val="001E0E62"/>
    <w:rsid w:val="001E1151"/>
    <w:rsid w:val="001E1299"/>
    <w:rsid w:val="001E14C1"/>
    <w:rsid w:val="001E1E83"/>
    <w:rsid w:val="001E2907"/>
    <w:rsid w:val="001E2BEA"/>
    <w:rsid w:val="001E2FB7"/>
    <w:rsid w:val="001E3497"/>
    <w:rsid w:val="001E3AE6"/>
    <w:rsid w:val="001E407B"/>
    <w:rsid w:val="001E4BEB"/>
    <w:rsid w:val="001E4E4D"/>
    <w:rsid w:val="001E5376"/>
    <w:rsid w:val="001E5FE4"/>
    <w:rsid w:val="001E67DD"/>
    <w:rsid w:val="001E6C28"/>
    <w:rsid w:val="001E74FE"/>
    <w:rsid w:val="001E7823"/>
    <w:rsid w:val="001E79C6"/>
    <w:rsid w:val="001E7D15"/>
    <w:rsid w:val="001F1135"/>
    <w:rsid w:val="001F1184"/>
    <w:rsid w:val="001F163D"/>
    <w:rsid w:val="001F2053"/>
    <w:rsid w:val="001F2064"/>
    <w:rsid w:val="001F243B"/>
    <w:rsid w:val="001F24F9"/>
    <w:rsid w:val="001F318C"/>
    <w:rsid w:val="001F338A"/>
    <w:rsid w:val="001F3858"/>
    <w:rsid w:val="001F3904"/>
    <w:rsid w:val="001F3D04"/>
    <w:rsid w:val="001F3F75"/>
    <w:rsid w:val="001F410B"/>
    <w:rsid w:val="001F4206"/>
    <w:rsid w:val="001F4B17"/>
    <w:rsid w:val="001F531B"/>
    <w:rsid w:val="001F584E"/>
    <w:rsid w:val="001F6001"/>
    <w:rsid w:val="001F60DD"/>
    <w:rsid w:val="001F6BE2"/>
    <w:rsid w:val="001F7146"/>
    <w:rsid w:val="001F77AF"/>
    <w:rsid w:val="001F78EB"/>
    <w:rsid w:val="002006BC"/>
    <w:rsid w:val="002009E0"/>
    <w:rsid w:val="00201A27"/>
    <w:rsid w:val="00201B75"/>
    <w:rsid w:val="00201DA8"/>
    <w:rsid w:val="0020225A"/>
    <w:rsid w:val="00202827"/>
    <w:rsid w:val="00203709"/>
    <w:rsid w:val="00203AC4"/>
    <w:rsid w:val="00203B33"/>
    <w:rsid w:val="00203CEE"/>
    <w:rsid w:val="002042F1"/>
    <w:rsid w:val="00204382"/>
    <w:rsid w:val="002049F5"/>
    <w:rsid w:val="00206616"/>
    <w:rsid w:val="00206AC8"/>
    <w:rsid w:val="00206FD9"/>
    <w:rsid w:val="0020759C"/>
    <w:rsid w:val="00207751"/>
    <w:rsid w:val="002078AE"/>
    <w:rsid w:val="00207955"/>
    <w:rsid w:val="00207D6B"/>
    <w:rsid w:val="0021009F"/>
    <w:rsid w:val="00210C13"/>
    <w:rsid w:val="00211470"/>
    <w:rsid w:val="00211504"/>
    <w:rsid w:val="0021164B"/>
    <w:rsid w:val="00211721"/>
    <w:rsid w:val="00211D35"/>
    <w:rsid w:val="00212441"/>
    <w:rsid w:val="00212EA9"/>
    <w:rsid w:val="002135A7"/>
    <w:rsid w:val="0021362C"/>
    <w:rsid w:val="00214FEC"/>
    <w:rsid w:val="002151AE"/>
    <w:rsid w:val="00215589"/>
    <w:rsid w:val="002157C1"/>
    <w:rsid w:val="002159A2"/>
    <w:rsid w:val="00216736"/>
    <w:rsid w:val="00216AF6"/>
    <w:rsid w:val="00216F2C"/>
    <w:rsid w:val="0021711D"/>
    <w:rsid w:val="00217517"/>
    <w:rsid w:val="0021794F"/>
    <w:rsid w:val="00217C01"/>
    <w:rsid w:val="00217CB0"/>
    <w:rsid w:val="00217E56"/>
    <w:rsid w:val="00220A41"/>
    <w:rsid w:val="00220E3E"/>
    <w:rsid w:val="002210F9"/>
    <w:rsid w:val="0022131F"/>
    <w:rsid w:val="00222179"/>
    <w:rsid w:val="00222A38"/>
    <w:rsid w:val="00222C03"/>
    <w:rsid w:val="00223649"/>
    <w:rsid w:val="0022472B"/>
    <w:rsid w:val="00225773"/>
    <w:rsid w:val="00225A14"/>
    <w:rsid w:val="002266DC"/>
    <w:rsid w:val="00226ACB"/>
    <w:rsid w:val="00226EC8"/>
    <w:rsid w:val="00227343"/>
    <w:rsid w:val="002276C4"/>
    <w:rsid w:val="002277E0"/>
    <w:rsid w:val="00230019"/>
    <w:rsid w:val="002313D2"/>
    <w:rsid w:val="002314DE"/>
    <w:rsid w:val="002315F6"/>
    <w:rsid w:val="0023193F"/>
    <w:rsid w:val="00231CD0"/>
    <w:rsid w:val="00231CFC"/>
    <w:rsid w:val="00231F8A"/>
    <w:rsid w:val="00233291"/>
    <w:rsid w:val="00233465"/>
    <w:rsid w:val="0023350F"/>
    <w:rsid w:val="00234309"/>
    <w:rsid w:val="00234EC0"/>
    <w:rsid w:val="00235356"/>
    <w:rsid w:val="00235BA7"/>
    <w:rsid w:val="00236251"/>
    <w:rsid w:val="002365B8"/>
    <w:rsid w:val="00236F5A"/>
    <w:rsid w:val="00237305"/>
    <w:rsid w:val="00237414"/>
    <w:rsid w:val="0023782F"/>
    <w:rsid w:val="00237ABD"/>
    <w:rsid w:val="00237D52"/>
    <w:rsid w:val="00237EEC"/>
    <w:rsid w:val="002404B8"/>
    <w:rsid w:val="002409D5"/>
    <w:rsid w:val="00240DFD"/>
    <w:rsid w:val="00241834"/>
    <w:rsid w:val="00241A54"/>
    <w:rsid w:val="00241C8D"/>
    <w:rsid w:val="00241FC6"/>
    <w:rsid w:val="00242426"/>
    <w:rsid w:val="002431EA"/>
    <w:rsid w:val="002435E4"/>
    <w:rsid w:val="00243DC3"/>
    <w:rsid w:val="00243FBB"/>
    <w:rsid w:val="00244349"/>
    <w:rsid w:val="00245A9C"/>
    <w:rsid w:val="0024626A"/>
    <w:rsid w:val="0024686B"/>
    <w:rsid w:val="002468B9"/>
    <w:rsid w:val="002469A1"/>
    <w:rsid w:val="00247204"/>
    <w:rsid w:val="002472C5"/>
    <w:rsid w:val="00247FEC"/>
    <w:rsid w:val="00250320"/>
    <w:rsid w:val="0025032E"/>
    <w:rsid w:val="0025105C"/>
    <w:rsid w:val="00251122"/>
    <w:rsid w:val="00251599"/>
    <w:rsid w:val="002524CF"/>
    <w:rsid w:val="002528F1"/>
    <w:rsid w:val="0025291B"/>
    <w:rsid w:val="00252A73"/>
    <w:rsid w:val="0025379F"/>
    <w:rsid w:val="00253A1A"/>
    <w:rsid w:val="00253BD7"/>
    <w:rsid w:val="00254107"/>
    <w:rsid w:val="00254904"/>
    <w:rsid w:val="00254ABA"/>
    <w:rsid w:val="00254AE8"/>
    <w:rsid w:val="00254F68"/>
    <w:rsid w:val="00255529"/>
    <w:rsid w:val="0025589F"/>
    <w:rsid w:val="00255935"/>
    <w:rsid w:val="00255CF5"/>
    <w:rsid w:val="00255F8E"/>
    <w:rsid w:val="00256267"/>
    <w:rsid w:val="00256D71"/>
    <w:rsid w:val="00256F81"/>
    <w:rsid w:val="002606C0"/>
    <w:rsid w:val="0026108F"/>
    <w:rsid w:val="002611F4"/>
    <w:rsid w:val="0026169E"/>
    <w:rsid w:val="0026178C"/>
    <w:rsid w:val="002617F1"/>
    <w:rsid w:val="0026223E"/>
    <w:rsid w:val="00262370"/>
    <w:rsid w:val="002627C0"/>
    <w:rsid w:val="002634DC"/>
    <w:rsid w:val="00263829"/>
    <w:rsid w:val="002640E5"/>
    <w:rsid w:val="00265ABC"/>
    <w:rsid w:val="00266A2D"/>
    <w:rsid w:val="00267489"/>
    <w:rsid w:val="00267768"/>
    <w:rsid w:val="00267F26"/>
    <w:rsid w:val="00270A92"/>
    <w:rsid w:val="00271481"/>
    <w:rsid w:val="002719DB"/>
    <w:rsid w:val="00271B83"/>
    <w:rsid w:val="00271F0F"/>
    <w:rsid w:val="002732CA"/>
    <w:rsid w:val="002737A6"/>
    <w:rsid w:val="00273F9B"/>
    <w:rsid w:val="00274450"/>
    <w:rsid w:val="002744B5"/>
    <w:rsid w:val="00274626"/>
    <w:rsid w:val="00275A5D"/>
    <w:rsid w:val="00275F9C"/>
    <w:rsid w:val="00275FA3"/>
    <w:rsid w:val="00276084"/>
    <w:rsid w:val="002774F9"/>
    <w:rsid w:val="002779FB"/>
    <w:rsid w:val="00277F82"/>
    <w:rsid w:val="0028058F"/>
    <w:rsid w:val="00280AC0"/>
    <w:rsid w:val="002817EF"/>
    <w:rsid w:val="00281CEF"/>
    <w:rsid w:val="00282104"/>
    <w:rsid w:val="002827FE"/>
    <w:rsid w:val="00282A01"/>
    <w:rsid w:val="0028325D"/>
    <w:rsid w:val="0028335B"/>
    <w:rsid w:val="002848A7"/>
    <w:rsid w:val="0028512A"/>
    <w:rsid w:val="00285231"/>
    <w:rsid w:val="002853D2"/>
    <w:rsid w:val="00285884"/>
    <w:rsid w:val="002861FE"/>
    <w:rsid w:val="00286255"/>
    <w:rsid w:val="00286AD4"/>
    <w:rsid w:val="0028709B"/>
    <w:rsid w:val="00287BDE"/>
    <w:rsid w:val="00290991"/>
    <w:rsid w:val="00290A9C"/>
    <w:rsid w:val="00290F50"/>
    <w:rsid w:val="00291D89"/>
    <w:rsid w:val="002934B5"/>
    <w:rsid w:val="002935B4"/>
    <w:rsid w:val="002940E5"/>
    <w:rsid w:val="00294208"/>
    <w:rsid w:val="002942DC"/>
    <w:rsid w:val="00295A10"/>
    <w:rsid w:val="0029672D"/>
    <w:rsid w:val="00296A2D"/>
    <w:rsid w:val="00296C4D"/>
    <w:rsid w:val="00297464"/>
    <w:rsid w:val="002A12E7"/>
    <w:rsid w:val="002A14EF"/>
    <w:rsid w:val="002A1B89"/>
    <w:rsid w:val="002A1F8B"/>
    <w:rsid w:val="002A219C"/>
    <w:rsid w:val="002A27AF"/>
    <w:rsid w:val="002A312F"/>
    <w:rsid w:val="002A3EA2"/>
    <w:rsid w:val="002A5C86"/>
    <w:rsid w:val="002A6872"/>
    <w:rsid w:val="002A6B52"/>
    <w:rsid w:val="002A6BB3"/>
    <w:rsid w:val="002A704F"/>
    <w:rsid w:val="002A75B5"/>
    <w:rsid w:val="002A7B5B"/>
    <w:rsid w:val="002B07E6"/>
    <w:rsid w:val="002B1022"/>
    <w:rsid w:val="002B17CE"/>
    <w:rsid w:val="002B1C0B"/>
    <w:rsid w:val="002B2046"/>
    <w:rsid w:val="002B2A20"/>
    <w:rsid w:val="002B2DF3"/>
    <w:rsid w:val="002B2EF2"/>
    <w:rsid w:val="002B3A53"/>
    <w:rsid w:val="002B3A9E"/>
    <w:rsid w:val="002B42F0"/>
    <w:rsid w:val="002B5ADA"/>
    <w:rsid w:val="002B5C6B"/>
    <w:rsid w:val="002B6126"/>
    <w:rsid w:val="002B6254"/>
    <w:rsid w:val="002B6B4C"/>
    <w:rsid w:val="002B717E"/>
    <w:rsid w:val="002C0B48"/>
    <w:rsid w:val="002C1B90"/>
    <w:rsid w:val="002C245C"/>
    <w:rsid w:val="002C2AA6"/>
    <w:rsid w:val="002C3A21"/>
    <w:rsid w:val="002C443B"/>
    <w:rsid w:val="002C4AC6"/>
    <w:rsid w:val="002C56FD"/>
    <w:rsid w:val="002C6028"/>
    <w:rsid w:val="002C635A"/>
    <w:rsid w:val="002C641E"/>
    <w:rsid w:val="002C79F0"/>
    <w:rsid w:val="002D11BC"/>
    <w:rsid w:val="002D1831"/>
    <w:rsid w:val="002D2221"/>
    <w:rsid w:val="002D247F"/>
    <w:rsid w:val="002D2B03"/>
    <w:rsid w:val="002D2D5A"/>
    <w:rsid w:val="002D34F8"/>
    <w:rsid w:val="002D42CC"/>
    <w:rsid w:val="002D4A7D"/>
    <w:rsid w:val="002D54BD"/>
    <w:rsid w:val="002D5BCE"/>
    <w:rsid w:val="002D6051"/>
    <w:rsid w:val="002D6911"/>
    <w:rsid w:val="002D6B8A"/>
    <w:rsid w:val="002D6CF0"/>
    <w:rsid w:val="002D782E"/>
    <w:rsid w:val="002E01D5"/>
    <w:rsid w:val="002E04B0"/>
    <w:rsid w:val="002E0AAA"/>
    <w:rsid w:val="002E0C57"/>
    <w:rsid w:val="002E0C60"/>
    <w:rsid w:val="002E1167"/>
    <w:rsid w:val="002E1957"/>
    <w:rsid w:val="002E1A9B"/>
    <w:rsid w:val="002E1C0B"/>
    <w:rsid w:val="002E1F27"/>
    <w:rsid w:val="002E1F39"/>
    <w:rsid w:val="002E241C"/>
    <w:rsid w:val="002E2F15"/>
    <w:rsid w:val="002E33BD"/>
    <w:rsid w:val="002E3CAF"/>
    <w:rsid w:val="002E4008"/>
    <w:rsid w:val="002E429E"/>
    <w:rsid w:val="002E46AA"/>
    <w:rsid w:val="002E479F"/>
    <w:rsid w:val="002E5378"/>
    <w:rsid w:val="002E5552"/>
    <w:rsid w:val="002E57FB"/>
    <w:rsid w:val="002E599B"/>
    <w:rsid w:val="002E61E5"/>
    <w:rsid w:val="002E648F"/>
    <w:rsid w:val="002E65B0"/>
    <w:rsid w:val="002E6BCD"/>
    <w:rsid w:val="002E6BEE"/>
    <w:rsid w:val="002E7017"/>
    <w:rsid w:val="002F08DC"/>
    <w:rsid w:val="002F0DEE"/>
    <w:rsid w:val="002F0ECF"/>
    <w:rsid w:val="002F127A"/>
    <w:rsid w:val="002F197D"/>
    <w:rsid w:val="002F1AF6"/>
    <w:rsid w:val="002F24D1"/>
    <w:rsid w:val="002F25B0"/>
    <w:rsid w:val="002F2CB9"/>
    <w:rsid w:val="002F35CA"/>
    <w:rsid w:val="002F397E"/>
    <w:rsid w:val="002F585F"/>
    <w:rsid w:val="002F5F5C"/>
    <w:rsid w:val="002F6630"/>
    <w:rsid w:val="002F6A51"/>
    <w:rsid w:val="002F73CF"/>
    <w:rsid w:val="002F799F"/>
    <w:rsid w:val="003008A8"/>
    <w:rsid w:val="00300DA6"/>
    <w:rsid w:val="0030172D"/>
    <w:rsid w:val="00302DDC"/>
    <w:rsid w:val="00303070"/>
    <w:rsid w:val="00303557"/>
    <w:rsid w:val="0030397A"/>
    <w:rsid w:val="00303BD9"/>
    <w:rsid w:val="00304311"/>
    <w:rsid w:val="0030435B"/>
    <w:rsid w:val="00305545"/>
    <w:rsid w:val="003056FA"/>
    <w:rsid w:val="00305768"/>
    <w:rsid w:val="0030596E"/>
    <w:rsid w:val="00305EFA"/>
    <w:rsid w:val="0030607A"/>
    <w:rsid w:val="0030636B"/>
    <w:rsid w:val="003064FE"/>
    <w:rsid w:val="003067CD"/>
    <w:rsid w:val="003078D4"/>
    <w:rsid w:val="00310169"/>
    <w:rsid w:val="003105F4"/>
    <w:rsid w:val="00310955"/>
    <w:rsid w:val="003109E1"/>
    <w:rsid w:val="00310FC6"/>
    <w:rsid w:val="00311D1A"/>
    <w:rsid w:val="00312D81"/>
    <w:rsid w:val="003147AA"/>
    <w:rsid w:val="00315D64"/>
    <w:rsid w:val="00316098"/>
    <w:rsid w:val="00316CF3"/>
    <w:rsid w:val="003170FC"/>
    <w:rsid w:val="0031754B"/>
    <w:rsid w:val="00317BA2"/>
    <w:rsid w:val="00317CBE"/>
    <w:rsid w:val="00320078"/>
    <w:rsid w:val="003203CF"/>
    <w:rsid w:val="00320542"/>
    <w:rsid w:val="003205B3"/>
    <w:rsid w:val="003205DD"/>
    <w:rsid w:val="003209F4"/>
    <w:rsid w:val="00320B0F"/>
    <w:rsid w:val="003214EF"/>
    <w:rsid w:val="003216AF"/>
    <w:rsid w:val="003218C5"/>
    <w:rsid w:val="00321A4A"/>
    <w:rsid w:val="00321E10"/>
    <w:rsid w:val="00321EC1"/>
    <w:rsid w:val="0032225B"/>
    <w:rsid w:val="00322B9B"/>
    <w:rsid w:val="003235B6"/>
    <w:rsid w:val="00324096"/>
    <w:rsid w:val="00324272"/>
    <w:rsid w:val="003249AE"/>
    <w:rsid w:val="0032582A"/>
    <w:rsid w:val="003260E6"/>
    <w:rsid w:val="003264C8"/>
    <w:rsid w:val="003264D1"/>
    <w:rsid w:val="003264FC"/>
    <w:rsid w:val="00326F41"/>
    <w:rsid w:val="00327B2E"/>
    <w:rsid w:val="00330EF8"/>
    <w:rsid w:val="00330F69"/>
    <w:rsid w:val="0033137B"/>
    <w:rsid w:val="00331EA1"/>
    <w:rsid w:val="0033215F"/>
    <w:rsid w:val="00332175"/>
    <w:rsid w:val="0033225C"/>
    <w:rsid w:val="003324F7"/>
    <w:rsid w:val="00332EFA"/>
    <w:rsid w:val="00333101"/>
    <w:rsid w:val="0033337A"/>
    <w:rsid w:val="003337AB"/>
    <w:rsid w:val="00333A1B"/>
    <w:rsid w:val="00333D59"/>
    <w:rsid w:val="00334021"/>
    <w:rsid w:val="00334AEC"/>
    <w:rsid w:val="00334B8C"/>
    <w:rsid w:val="00334D7B"/>
    <w:rsid w:val="0033566D"/>
    <w:rsid w:val="00336598"/>
    <w:rsid w:val="00336A00"/>
    <w:rsid w:val="00336A7F"/>
    <w:rsid w:val="00337490"/>
    <w:rsid w:val="003377A0"/>
    <w:rsid w:val="00340236"/>
    <w:rsid w:val="00340AFB"/>
    <w:rsid w:val="00341969"/>
    <w:rsid w:val="00341C1B"/>
    <w:rsid w:val="00341D90"/>
    <w:rsid w:val="00341E40"/>
    <w:rsid w:val="00342020"/>
    <w:rsid w:val="003421E9"/>
    <w:rsid w:val="0034252C"/>
    <w:rsid w:val="00342748"/>
    <w:rsid w:val="003428DD"/>
    <w:rsid w:val="00342D5A"/>
    <w:rsid w:val="003437B6"/>
    <w:rsid w:val="00343B7F"/>
    <w:rsid w:val="0034405B"/>
    <w:rsid w:val="0034443C"/>
    <w:rsid w:val="00345A37"/>
    <w:rsid w:val="00346345"/>
    <w:rsid w:val="0034661A"/>
    <w:rsid w:val="00346644"/>
    <w:rsid w:val="00346685"/>
    <w:rsid w:val="00346A9F"/>
    <w:rsid w:val="00346CE3"/>
    <w:rsid w:val="00346CE4"/>
    <w:rsid w:val="00346F06"/>
    <w:rsid w:val="003477F1"/>
    <w:rsid w:val="00347E46"/>
    <w:rsid w:val="00350481"/>
    <w:rsid w:val="00350CBD"/>
    <w:rsid w:val="00351716"/>
    <w:rsid w:val="0035198C"/>
    <w:rsid w:val="003519D9"/>
    <w:rsid w:val="003526B8"/>
    <w:rsid w:val="00352C15"/>
    <w:rsid w:val="00353105"/>
    <w:rsid w:val="00353210"/>
    <w:rsid w:val="0035364C"/>
    <w:rsid w:val="0035370D"/>
    <w:rsid w:val="00353F46"/>
    <w:rsid w:val="00354422"/>
    <w:rsid w:val="003544FA"/>
    <w:rsid w:val="00354597"/>
    <w:rsid w:val="00354A43"/>
    <w:rsid w:val="00355585"/>
    <w:rsid w:val="0035583B"/>
    <w:rsid w:val="00356023"/>
    <w:rsid w:val="003564AB"/>
    <w:rsid w:val="00356866"/>
    <w:rsid w:val="003571CF"/>
    <w:rsid w:val="003572A4"/>
    <w:rsid w:val="0035798D"/>
    <w:rsid w:val="0036062A"/>
    <w:rsid w:val="00360F72"/>
    <w:rsid w:val="00361654"/>
    <w:rsid w:val="003621E5"/>
    <w:rsid w:val="003625A0"/>
    <w:rsid w:val="00362763"/>
    <w:rsid w:val="00362AB2"/>
    <w:rsid w:val="003634EC"/>
    <w:rsid w:val="00363962"/>
    <w:rsid w:val="00363A9D"/>
    <w:rsid w:val="00363E60"/>
    <w:rsid w:val="00364729"/>
    <w:rsid w:val="00364D05"/>
    <w:rsid w:val="00365163"/>
    <w:rsid w:val="003652B4"/>
    <w:rsid w:val="00365FC0"/>
    <w:rsid w:val="003661C8"/>
    <w:rsid w:val="00366B99"/>
    <w:rsid w:val="0036718B"/>
    <w:rsid w:val="003706DF"/>
    <w:rsid w:val="0037091C"/>
    <w:rsid w:val="003709CB"/>
    <w:rsid w:val="00370BD5"/>
    <w:rsid w:val="003714D1"/>
    <w:rsid w:val="003715AD"/>
    <w:rsid w:val="00372296"/>
    <w:rsid w:val="00372E31"/>
    <w:rsid w:val="0037427D"/>
    <w:rsid w:val="00374967"/>
    <w:rsid w:val="00374E2B"/>
    <w:rsid w:val="0037503D"/>
    <w:rsid w:val="003758AF"/>
    <w:rsid w:val="00375A7C"/>
    <w:rsid w:val="0037662E"/>
    <w:rsid w:val="00376993"/>
    <w:rsid w:val="0037707D"/>
    <w:rsid w:val="0037750A"/>
    <w:rsid w:val="00377CD4"/>
    <w:rsid w:val="00377E47"/>
    <w:rsid w:val="0038019A"/>
    <w:rsid w:val="00380217"/>
    <w:rsid w:val="00380590"/>
    <w:rsid w:val="00380729"/>
    <w:rsid w:val="003819A3"/>
    <w:rsid w:val="003819E4"/>
    <w:rsid w:val="00382353"/>
    <w:rsid w:val="003825FF"/>
    <w:rsid w:val="003829A8"/>
    <w:rsid w:val="003829CF"/>
    <w:rsid w:val="00382C34"/>
    <w:rsid w:val="00383408"/>
    <w:rsid w:val="00383668"/>
    <w:rsid w:val="00384054"/>
    <w:rsid w:val="00384506"/>
    <w:rsid w:val="00384937"/>
    <w:rsid w:val="00384B11"/>
    <w:rsid w:val="003859A2"/>
    <w:rsid w:val="00385B81"/>
    <w:rsid w:val="00386040"/>
    <w:rsid w:val="00387201"/>
    <w:rsid w:val="003878B4"/>
    <w:rsid w:val="003879D0"/>
    <w:rsid w:val="00387EB6"/>
    <w:rsid w:val="003904FD"/>
    <w:rsid w:val="00390A18"/>
    <w:rsid w:val="00390DA0"/>
    <w:rsid w:val="00391708"/>
    <w:rsid w:val="00391754"/>
    <w:rsid w:val="00391A7C"/>
    <w:rsid w:val="00391BE7"/>
    <w:rsid w:val="00391EAE"/>
    <w:rsid w:val="0039224E"/>
    <w:rsid w:val="00392A5F"/>
    <w:rsid w:val="00392BB6"/>
    <w:rsid w:val="00392D36"/>
    <w:rsid w:val="00392E0A"/>
    <w:rsid w:val="00392EB5"/>
    <w:rsid w:val="003934F0"/>
    <w:rsid w:val="003936E2"/>
    <w:rsid w:val="00394F66"/>
    <w:rsid w:val="0039546A"/>
    <w:rsid w:val="003957B3"/>
    <w:rsid w:val="00395CB8"/>
    <w:rsid w:val="00396B9D"/>
    <w:rsid w:val="00397493"/>
    <w:rsid w:val="00397C82"/>
    <w:rsid w:val="00397D03"/>
    <w:rsid w:val="003A003E"/>
    <w:rsid w:val="003A087C"/>
    <w:rsid w:val="003A08AA"/>
    <w:rsid w:val="003A0D6F"/>
    <w:rsid w:val="003A2B99"/>
    <w:rsid w:val="003A37CD"/>
    <w:rsid w:val="003A3B31"/>
    <w:rsid w:val="003A4D8E"/>
    <w:rsid w:val="003A5FE8"/>
    <w:rsid w:val="003A62D4"/>
    <w:rsid w:val="003A6877"/>
    <w:rsid w:val="003A6FDC"/>
    <w:rsid w:val="003A706D"/>
    <w:rsid w:val="003A7D84"/>
    <w:rsid w:val="003A7E5E"/>
    <w:rsid w:val="003A7F3B"/>
    <w:rsid w:val="003B005E"/>
    <w:rsid w:val="003B02B2"/>
    <w:rsid w:val="003B03E5"/>
    <w:rsid w:val="003B0D88"/>
    <w:rsid w:val="003B0DA9"/>
    <w:rsid w:val="003B1528"/>
    <w:rsid w:val="003B227A"/>
    <w:rsid w:val="003B29AE"/>
    <w:rsid w:val="003B406B"/>
    <w:rsid w:val="003B4541"/>
    <w:rsid w:val="003B498D"/>
    <w:rsid w:val="003B4E21"/>
    <w:rsid w:val="003B5215"/>
    <w:rsid w:val="003B59E7"/>
    <w:rsid w:val="003B5E50"/>
    <w:rsid w:val="003B6776"/>
    <w:rsid w:val="003B69E5"/>
    <w:rsid w:val="003B73BD"/>
    <w:rsid w:val="003B7669"/>
    <w:rsid w:val="003B7D6E"/>
    <w:rsid w:val="003B7FC2"/>
    <w:rsid w:val="003C03A3"/>
    <w:rsid w:val="003C0D64"/>
    <w:rsid w:val="003C1059"/>
    <w:rsid w:val="003C2720"/>
    <w:rsid w:val="003C2EF3"/>
    <w:rsid w:val="003C3171"/>
    <w:rsid w:val="003C320B"/>
    <w:rsid w:val="003C3DE4"/>
    <w:rsid w:val="003C40A5"/>
    <w:rsid w:val="003C537E"/>
    <w:rsid w:val="003C6855"/>
    <w:rsid w:val="003C6BE7"/>
    <w:rsid w:val="003C6C13"/>
    <w:rsid w:val="003C6C1C"/>
    <w:rsid w:val="003C6E7D"/>
    <w:rsid w:val="003D0173"/>
    <w:rsid w:val="003D0655"/>
    <w:rsid w:val="003D111A"/>
    <w:rsid w:val="003D1132"/>
    <w:rsid w:val="003D12F8"/>
    <w:rsid w:val="003D1461"/>
    <w:rsid w:val="003D1465"/>
    <w:rsid w:val="003D1752"/>
    <w:rsid w:val="003D1772"/>
    <w:rsid w:val="003D1DAC"/>
    <w:rsid w:val="003D1F3F"/>
    <w:rsid w:val="003D220A"/>
    <w:rsid w:val="003D2DD7"/>
    <w:rsid w:val="003D3098"/>
    <w:rsid w:val="003D3355"/>
    <w:rsid w:val="003D35D9"/>
    <w:rsid w:val="003D3707"/>
    <w:rsid w:val="003D3E31"/>
    <w:rsid w:val="003D42AE"/>
    <w:rsid w:val="003D520E"/>
    <w:rsid w:val="003D60BD"/>
    <w:rsid w:val="003D6895"/>
    <w:rsid w:val="003D6E16"/>
    <w:rsid w:val="003D7596"/>
    <w:rsid w:val="003D7CF8"/>
    <w:rsid w:val="003E04B8"/>
    <w:rsid w:val="003E0C0E"/>
    <w:rsid w:val="003E2C1C"/>
    <w:rsid w:val="003E3020"/>
    <w:rsid w:val="003E4163"/>
    <w:rsid w:val="003E44AE"/>
    <w:rsid w:val="003E4955"/>
    <w:rsid w:val="003E5814"/>
    <w:rsid w:val="003E58BA"/>
    <w:rsid w:val="003E5CDB"/>
    <w:rsid w:val="003E607F"/>
    <w:rsid w:val="003E6689"/>
    <w:rsid w:val="003E6C68"/>
    <w:rsid w:val="003E7E4D"/>
    <w:rsid w:val="003E7E88"/>
    <w:rsid w:val="003F06FC"/>
    <w:rsid w:val="003F0A8E"/>
    <w:rsid w:val="003F153D"/>
    <w:rsid w:val="003F213F"/>
    <w:rsid w:val="003F2814"/>
    <w:rsid w:val="003F2CD4"/>
    <w:rsid w:val="003F3191"/>
    <w:rsid w:val="003F324A"/>
    <w:rsid w:val="003F3323"/>
    <w:rsid w:val="003F3428"/>
    <w:rsid w:val="003F35B9"/>
    <w:rsid w:val="003F3A64"/>
    <w:rsid w:val="003F3D67"/>
    <w:rsid w:val="003F4288"/>
    <w:rsid w:val="003F49DC"/>
    <w:rsid w:val="003F4A2D"/>
    <w:rsid w:val="003F4E60"/>
    <w:rsid w:val="003F5958"/>
    <w:rsid w:val="003F5C47"/>
    <w:rsid w:val="003F5D77"/>
    <w:rsid w:val="003F5E09"/>
    <w:rsid w:val="003F5F2F"/>
    <w:rsid w:val="003F61F9"/>
    <w:rsid w:val="003F6230"/>
    <w:rsid w:val="003F67EA"/>
    <w:rsid w:val="003F6BCD"/>
    <w:rsid w:val="003F6C43"/>
    <w:rsid w:val="003F73FD"/>
    <w:rsid w:val="003F752E"/>
    <w:rsid w:val="003F7A4D"/>
    <w:rsid w:val="004004DC"/>
    <w:rsid w:val="00400E08"/>
    <w:rsid w:val="00401740"/>
    <w:rsid w:val="004024E1"/>
    <w:rsid w:val="00402C8A"/>
    <w:rsid w:val="00402FD6"/>
    <w:rsid w:val="004034F4"/>
    <w:rsid w:val="004041D6"/>
    <w:rsid w:val="004044CF"/>
    <w:rsid w:val="00404684"/>
    <w:rsid w:val="00404A62"/>
    <w:rsid w:val="004052DA"/>
    <w:rsid w:val="00405860"/>
    <w:rsid w:val="00406555"/>
    <w:rsid w:val="00406A07"/>
    <w:rsid w:val="00406F34"/>
    <w:rsid w:val="004077DB"/>
    <w:rsid w:val="00407863"/>
    <w:rsid w:val="00407E59"/>
    <w:rsid w:val="00410955"/>
    <w:rsid w:val="00410A17"/>
    <w:rsid w:val="00410DC1"/>
    <w:rsid w:val="00410E32"/>
    <w:rsid w:val="0041169A"/>
    <w:rsid w:val="004116BB"/>
    <w:rsid w:val="00411BAB"/>
    <w:rsid w:val="00411D04"/>
    <w:rsid w:val="0041255F"/>
    <w:rsid w:val="004126B4"/>
    <w:rsid w:val="00412B31"/>
    <w:rsid w:val="0041326B"/>
    <w:rsid w:val="00414393"/>
    <w:rsid w:val="004146E2"/>
    <w:rsid w:val="004148BB"/>
    <w:rsid w:val="0041509E"/>
    <w:rsid w:val="00415A99"/>
    <w:rsid w:val="004161A0"/>
    <w:rsid w:val="004161D0"/>
    <w:rsid w:val="00416FE0"/>
    <w:rsid w:val="00417C77"/>
    <w:rsid w:val="00417CE3"/>
    <w:rsid w:val="00417CF2"/>
    <w:rsid w:val="004205D4"/>
    <w:rsid w:val="00420768"/>
    <w:rsid w:val="004207FA"/>
    <w:rsid w:val="00420800"/>
    <w:rsid w:val="00421441"/>
    <w:rsid w:val="004217B3"/>
    <w:rsid w:val="004218F6"/>
    <w:rsid w:val="00421A5A"/>
    <w:rsid w:val="00421C8C"/>
    <w:rsid w:val="0042226E"/>
    <w:rsid w:val="004222E7"/>
    <w:rsid w:val="004226F6"/>
    <w:rsid w:val="00422E37"/>
    <w:rsid w:val="00423245"/>
    <w:rsid w:val="004234FB"/>
    <w:rsid w:val="00423BCD"/>
    <w:rsid w:val="0042443D"/>
    <w:rsid w:val="0042446F"/>
    <w:rsid w:val="00424792"/>
    <w:rsid w:val="004259B7"/>
    <w:rsid w:val="00425E61"/>
    <w:rsid w:val="00427BF6"/>
    <w:rsid w:val="004300EA"/>
    <w:rsid w:val="00430130"/>
    <w:rsid w:val="004304F0"/>
    <w:rsid w:val="0043079B"/>
    <w:rsid w:val="00430812"/>
    <w:rsid w:val="00430DC7"/>
    <w:rsid w:val="00431223"/>
    <w:rsid w:val="004316DF"/>
    <w:rsid w:val="00431877"/>
    <w:rsid w:val="004318A4"/>
    <w:rsid w:val="004320BE"/>
    <w:rsid w:val="004323F8"/>
    <w:rsid w:val="00432761"/>
    <w:rsid w:val="00432882"/>
    <w:rsid w:val="0043369A"/>
    <w:rsid w:val="004336E0"/>
    <w:rsid w:val="00433B68"/>
    <w:rsid w:val="00435BE7"/>
    <w:rsid w:val="004369B5"/>
    <w:rsid w:val="00436C3E"/>
    <w:rsid w:val="00436E73"/>
    <w:rsid w:val="00437633"/>
    <w:rsid w:val="00440000"/>
    <w:rsid w:val="00440317"/>
    <w:rsid w:val="00440EFA"/>
    <w:rsid w:val="00441060"/>
    <w:rsid w:val="004413AE"/>
    <w:rsid w:val="00441710"/>
    <w:rsid w:val="00441821"/>
    <w:rsid w:val="004420BF"/>
    <w:rsid w:val="00442CB0"/>
    <w:rsid w:val="00443031"/>
    <w:rsid w:val="004432F3"/>
    <w:rsid w:val="00443A1E"/>
    <w:rsid w:val="00444621"/>
    <w:rsid w:val="00444C1E"/>
    <w:rsid w:val="004451F9"/>
    <w:rsid w:val="00445660"/>
    <w:rsid w:val="004459CF"/>
    <w:rsid w:val="00446483"/>
    <w:rsid w:val="00447CC6"/>
    <w:rsid w:val="00447FF8"/>
    <w:rsid w:val="00451947"/>
    <w:rsid w:val="00451B28"/>
    <w:rsid w:val="00451DFB"/>
    <w:rsid w:val="00451F9A"/>
    <w:rsid w:val="004520AF"/>
    <w:rsid w:val="00452304"/>
    <w:rsid w:val="00452AA4"/>
    <w:rsid w:val="004538EA"/>
    <w:rsid w:val="0045391A"/>
    <w:rsid w:val="00453C13"/>
    <w:rsid w:val="004541B2"/>
    <w:rsid w:val="004542F5"/>
    <w:rsid w:val="00454FF6"/>
    <w:rsid w:val="004565BC"/>
    <w:rsid w:val="00456C10"/>
    <w:rsid w:val="00456C8D"/>
    <w:rsid w:val="004571C4"/>
    <w:rsid w:val="00457238"/>
    <w:rsid w:val="00457358"/>
    <w:rsid w:val="00457A61"/>
    <w:rsid w:val="00460FC8"/>
    <w:rsid w:val="0046236E"/>
    <w:rsid w:val="00462ED3"/>
    <w:rsid w:val="00463288"/>
    <w:rsid w:val="00464565"/>
    <w:rsid w:val="004646DA"/>
    <w:rsid w:val="0046488C"/>
    <w:rsid w:val="00464A4C"/>
    <w:rsid w:val="004650E5"/>
    <w:rsid w:val="004656F9"/>
    <w:rsid w:val="00466620"/>
    <w:rsid w:val="00467263"/>
    <w:rsid w:val="0046736D"/>
    <w:rsid w:val="004678EE"/>
    <w:rsid w:val="00467984"/>
    <w:rsid w:val="00467B35"/>
    <w:rsid w:val="0047016E"/>
    <w:rsid w:val="00470240"/>
    <w:rsid w:val="00470468"/>
    <w:rsid w:val="00470A22"/>
    <w:rsid w:val="0047119C"/>
    <w:rsid w:val="00472076"/>
    <w:rsid w:val="00472984"/>
    <w:rsid w:val="00472D8C"/>
    <w:rsid w:val="004730A3"/>
    <w:rsid w:val="0047332A"/>
    <w:rsid w:val="00473805"/>
    <w:rsid w:val="00473D8C"/>
    <w:rsid w:val="0047478B"/>
    <w:rsid w:val="00474796"/>
    <w:rsid w:val="0047497B"/>
    <w:rsid w:val="00474B1B"/>
    <w:rsid w:val="00475191"/>
    <w:rsid w:val="00475330"/>
    <w:rsid w:val="00475433"/>
    <w:rsid w:val="004756DC"/>
    <w:rsid w:val="00475F4B"/>
    <w:rsid w:val="0047671F"/>
    <w:rsid w:val="0047681A"/>
    <w:rsid w:val="0047689D"/>
    <w:rsid w:val="00476991"/>
    <w:rsid w:val="00477960"/>
    <w:rsid w:val="00480367"/>
    <w:rsid w:val="0048046D"/>
    <w:rsid w:val="00480884"/>
    <w:rsid w:val="00480C07"/>
    <w:rsid w:val="0048131C"/>
    <w:rsid w:val="00481498"/>
    <w:rsid w:val="00481535"/>
    <w:rsid w:val="00481E91"/>
    <w:rsid w:val="00481FE8"/>
    <w:rsid w:val="00482D1C"/>
    <w:rsid w:val="00482D6F"/>
    <w:rsid w:val="00482F6B"/>
    <w:rsid w:val="00483611"/>
    <w:rsid w:val="00483996"/>
    <w:rsid w:val="00483AAE"/>
    <w:rsid w:val="00483CCA"/>
    <w:rsid w:val="00483FBC"/>
    <w:rsid w:val="00484079"/>
    <w:rsid w:val="0048427B"/>
    <w:rsid w:val="00484A11"/>
    <w:rsid w:val="00484D0F"/>
    <w:rsid w:val="00484D3C"/>
    <w:rsid w:val="004855EE"/>
    <w:rsid w:val="004858BD"/>
    <w:rsid w:val="00485ACA"/>
    <w:rsid w:val="0048657A"/>
    <w:rsid w:val="0048665B"/>
    <w:rsid w:val="004867EE"/>
    <w:rsid w:val="00486DB4"/>
    <w:rsid w:val="00487851"/>
    <w:rsid w:val="00487A2D"/>
    <w:rsid w:val="004904F8"/>
    <w:rsid w:val="004909AF"/>
    <w:rsid w:val="00490D5E"/>
    <w:rsid w:val="00490E51"/>
    <w:rsid w:val="004913FC"/>
    <w:rsid w:val="00491655"/>
    <w:rsid w:val="0049177B"/>
    <w:rsid w:val="00492169"/>
    <w:rsid w:val="00492404"/>
    <w:rsid w:val="004927BE"/>
    <w:rsid w:val="00492A87"/>
    <w:rsid w:val="00493050"/>
    <w:rsid w:val="00493328"/>
    <w:rsid w:val="00493887"/>
    <w:rsid w:val="00493E05"/>
    <w:rsid w:val="0049409F"/>
    <w:rsid w:val="004942DC"/>
    <w:rsid w:val="00494D92"/>
    <w:rsid w:val="00494F18"/>
    <w:rsid w:val="00494F5B"/>
    <w:rsid w:val="00495205"/>
    <w:rsid w:val="0049581F"/>
    <w:rsid w:val="004959EE"/>
    <w:rsid w:val="00495B4D"/>
    <w:rsid w:val="00495BB5"/>
    <w:rsid w:val="0049619E"/>
    <w:rsid w:val="00496364"/>
    <w:rsid w:val="004965CE"/>
    <w:rsid w:val="0049736A"/>
    <w:rsid w:val="004973C1"/>
    <w:rsid w:val="00497584"/>
    <w:rsid w:val="004976C8"/>
    <w:rsid w:val="0049774B"/>
    <w:rsid w:val="0049792C"/>
    <w:rsid w:val="00497F0E"/>
    <w:rsid w:val="004A0212"/>
    <w:rsid w:val="004A05B6"/>
    <w:rsid w:val="004A1077"/>
    <w:rsid w:val="004A11A9"/>
    <w:rsid w:val="004A1864"/>
    <w:rsid w:val="004A1C48"/>
    <w:rsid w:val="004A2271"/>
    <w:rsid w:val="004A2673"/>
    <w:rsid w:val="004A2894"/>
    <w:rsid w:val="004A2C8B"/>
    <w:rsid w:val="004A3545"/>
    <w:rsid w:val="004A42AB"/>
    <w:rsid w:val="004A4553"/>
    <w:rsid w:val="004A4D81"/>
    <w:rsid w:val="004A4D8E"/>
    <w:rsid w:val="004A4ECB"/>
    <w:rsid w:val="004A4F50"/>
    <w:rsid w:val="004A5048"/>
    <w:rsid w:val="004A510E"/>
    <w:rsid w:val="004A63F7"/>
    <w:rsid w:val="004A68E0"/>
    <w:rsid w:val="004B0D5D"/>
    <w:rsid w:val="004B1091"/>
    <w:rsid w:val="004B13BB"/>
    <w:rsid w:val="004B20F1"/>
    <w:rsid w:val="004B2148"/>
    <w:rsid w:val="004B236A"/>
    <w:rsid w:val="004B24A8"/>
    <w:rsid w:val="004B2EF9"/>
    <w:rsid w:val="004B3B2B"/>
    <w:rsid w:val="004B3FFC"/>
    <w:rsid w:val="004B419B"/>
    <w:rsid w:val="004B58D1"/>
    <w:rsid w:val="004B59C0"/>
    <w:rsid w:val="004B5CB6"/>
    <w:rsid w:val="004B65D9"/>
    <w:rsid w:val="004B691D"/>
    <w:rsid w:val="004B71FF"/>
    <w:rsid w:val="004B7532"/>
    <w:rsid w:val="004B7C91"/>
    <w:rsid w:val="004C03AA"/>
    <w:rsid w:val="004C07A1"/>
    <w:rsid w:val="004C0B76"/>
    <w:rsid w:val="004C10F8"/>
    <w:rsid w:val="004C2B32"/>
    <w:rsid w:val="004C30D2"/>
    <w:rsid w:val="004C35AD"/>
    <w:rsid w:val="004C3D65"/>
    <w:rsid w:val="004C4210"/>
    <w:rsid w:val="004C4240"/>
    <w:rsid w:val="004C43D8"/>
    <w:rsid w:val="004C4C9C"/>
    <w:rsid w:val="004C5106"/>
    <w:rsid w:val="004C511B"/>
    <w:rsid w:val="004C52FC"/>
    <w:rsid w:val="004C61B0"/>
    <w:rsid w:val="004C66C7"/>
    <w:rsid w:val="004C680B"/>
    <w:rsid w:val="004C704E"/>
    <w:rsid w:val="004C71B3"/>
    <w:rsid w:val="004C7305"/>
    <w:rsid w:val="004C7736"/>
    <w:rsid w:val="004C7F46"/>
    <w:rsid w:val="004D0DA6"/>
    <w:rsid w:val="004D185E"/>
    <w:rsid w:val="004D1968"/>
    <w:rsid w:val="004D1F66"/>
    <w:rsid w:val="004D20DA"/>
    <w:rsid w:val="004D2665"/>
    <w:rsid w:val="004D2A8A"/>
    <w:rsid w:val="004D2E3A"/>
    <w:rsid w:val="004D3E37"/>
    <w:rsid w:val="004D5179"/>
    <w:rsid w:val="004D5B65"/>
    <w:rsid w:val="004D5E3C"/>
    <w:rsid w:val="004D5EA3"/>
    <w:rsid w:val="004D5F40"/>
    <w:rsid w:val="004D5FF5"/>
    <w:rsid w:val="004D72BA"/>
    <w:rsid w:val="004D7994"/>
    <w:rsid w:val="004D7E63"/>
    <w:rsid w:val="004E0411"/>
    <w:rsid w:val="004E0A7D"/>
    <w:rsid w:val="004E0DB7"/>
    <w:rsid w:val="004E181D"/>
    <w:rsid w:val="004E1AE2"/>
    <w:rsid w:val="004E2368"/>
    <w:rsid w:val="004E23A0"/>
    <w:rsid w:val="004E3155"/>
    <w:rsid w:val="004E39A7"/>
    <w:rsid w:val="004E3D7C"/>
    <w:rsid w:val="004E4239"/>
    <w:rsid w:val="004E4508"/>
    <w:rsid w:val="004E4864"/>
    <w:rsid w:val="004E4DF9"/>
    <w:rsid w:val="004E5F3D"/>
    <w:rsid w:val="004E5FF8"/>
    <w:rsid w:val="004E63AD"/>
    <w:rsid w:val="004E64C3"/>
    <w:rsid w:val="004E7200"/>
    <w:rsid w:val="004E7B75"/>
    <w:rsid w:val="004E7D2E"/>
    <w:rsid w:val="004E7DFC"/>
    <w:rsid w:val="004F0039"/>
    <w:rsid w:val="004F0268"/>
    <w:rsid w:val="004F0A40"/>
    <w:rsid w:val="004F0A47"/>
    <w:rsid w:val="004F1338"/>
    <w:rsid w:val="004F134A"/>
    <w:rsid w:val="004F1B15"/>
    <w:rsid w:val="004F1C4E"/>
    <w:rsid w:val="004F2230"/>
    <w:rsid w:val="004F232A"/>
    <w:rsid w:val="004F2718"/>
    <w:rsid w:val="004F292E"/>
    <w:rsid w:val="004F299F"/>
    <w:rsid w:val="004F2C4B"/>
    <w:rsid w:val="004F2DFE"/>
    <w:rsid w:val="004F4207"/>
    <w:rsid w:val="004F4D83"/>
    <w:rsid w:val="004F4E42"/>
    <w:rsid w:val="004F513E"/>
    <w:rsid w:val="004F5E2F"/>
    <w:rsid w:val="004F667C"/>
    <w:rsid w:val="004F6A5D"/>
    <w:rsid w:val="004F7135"/>
    <w:rsid w:val="004F74BB"/>
    <w:rsid w:val="004F77C6"/>
    <w:rsid w:val="004F79C5"/>
    <w:rsid w:val="004F7D39"/>
    <w:rsid w:val="004F7D4B"/>
    <w:rsid w:val="0050015C"/>
    <w:rsid w:val="0050091D"/>
    <w:rsid w:val="00500AB0"/>
    <w:rsid w:val="00500BAC"/>
    <w:rsid w:val="00500C95"/>
    <w:rsid w:val="005015AD"/>
    <w:rsid w:val="005015B7"/>
    <w:rsid w:val="0050261A"/>
    <w:rsid w:val="00502C92"/>
    <w:rsid w:val="00503A6F"/>
    <w:rsid w:val="00503CDD"/>
    <w:rsid w:val="00503F84"/>
    <w:rsid w:val="00503FBC"/>
    <w:rsid w:val="00504223"/>
    <w:rsid w:val="005042DC"/>
    <w:rsid w:val="00504731"/>
    <w:rsid w:val="00504B98"/>
    <w:rsid w:val="00504C92"/>
    <w:rsid w:val="00504E14"/>
    <w:rsid w:val="00505895"/>
    <w:rsid w:val="00505C51"/>
    <w:rsid w:val="00506202"/>
    <w:rsid w:val="005069CD"/>
    <w:rsid w:val="00506A55"/>
    <w:rsid w:val="005074E3"/>
    <w:rsid w:val="00507531"/>
    <w:rsid w:val="005077A4"/>
    <w:rsid w:val="0050783D"/>
    <w:rsid w:val="00510D5D"/>
    <w:rsid w:val="00510E71"/>
    <w:rsid w:val="005116D7"/>
    <w:rsid w:val="00511C30"/>
    <w:rsid w:val="00513A88"/>
    <w:rsid w:val="00513DBC"/>
    <w:rsid w:val="00514177"/>
    <w:rsid w:val="005142E6"/>
    <w:rsid w:val="005143A6"/>
    <w:rsid w:val="00514968"/>
    <w:rsid w:val="00514B6D"/>
    <w:rsid w:val="00514CF3"/>
    <w:rsid w:val="005152C0"/>
    <w:rsid w:val="00515355"/>
    <w:rsid w:val="0051598F"/>
    <w:rsid w:val="00516065"/>
    <w:rsid w:val="00516792"/>
    <w:rsid w:val="005169B8"/>
    <w:rsid w:val="005171D2"/>
    <w:rsid w:val="0051752E"/>
    <w:rsid w:val="00517C3B"/>
    <w:rsid w:val="00520950"/>
    <w:rsid w:val="005215E8"/>
    <w:rsid w:val="00521995"/>
    <w:rsid w:val="00521ADD"/>
    <w:rsid w:val="005244F7"/>
    <w:rsid w:val="00524E9B"/>
    <w:rsid w:val="005252FB"/>
    <w:rsid w:val="0052570B"/>
    <w:rsid w:val="00525D0B"/>
    <w:rsid w:val="00525D33"/>
    <w:rsid w:val="00526343"/>
    <w:rsid w:val="0052698E"/>
    <w:rsid w:val="00527155"/>
    <w:rsid w:val="00527717"/>
    <w:rsid w:val="00527EC2"/>
    <w:rsid w:val="005300E5"/>
    <w:rsid w:val="00530188"/>
    <w:rsid w:val="00530322"/>
    <w:rsid w:val="0053034B"/>
    <w:rsid w:val="00530E02"/>
    <w:rsid w:val="00530EAD"/>
    <w:rsid w:val="005310C3"/>
    <w:rsid w:val="005316E3"/>
    <w:rsid w:val="00532222"/>
    <w:rsid w:val="00532AF5"/>
    <w:rsid w:val="00532BE2"/>
    <w:rsid w:val="00532F55"/>
    <w:rsid w:val="0053363D"/>
    <w:rsid w:val="00533A98"/>
    <w:rsid w:val="00533D0E"/>
    <w:rsid w:val="00533E4D"/>
    <w:rsid w:val="00534514"/>
    <w:rsid w:val="00534ED8"/>
    <w:rsid w:val="00535002"/>
    <w:rsid w:val="0053523F"/>
    <w:rsid w:val="0053526C"/>
    <w:rsid w:val="00535864"/>
    <w:rsid w:val="00535F16"/>
    <w:rsid w:val="00535F4C"/>
    <w:rsid w:val="0053622C"/>
    <w:rsid w:val="005366A3"/>
    <w:rsid w:val="00536B7A"/>
    <w:rsid w:val="00537019"/>
    <w:rsid w:val="005371EC"/>
    <w:rsid w:val="00537727"/>
    <w:rsid w:val="00537A8A"/>
    <w:rsid w:val="00537C67"/>
    <w:rsid w:val="005403DF"/>
    <w:rsid w:val="0054067F"/>
    <w:rsid w:val="00542527"/>
    <w:rsid w:val="00542689"/>
    <w:rsid w:val="0054285B"/>
    <w:rsid w:val="00542920"/>
    <w:rsid w:val="005432FA"/>
    <w:rsid w:val="005435CD"/>
    <w:rsid w:val="0054373F"/>
    <w:rsid w:val="00543762"/>
    <w:rsid w:val="005439E1"/>
    <w:rsid w:val="00543AA0"/>
    <w:rsid w:val="00545086"/>
    <w:rsid w:val="00545398"/>
    <w:rsid w:val="00545A51"/>
    <w:rsid w:val="00546EE6"/>
    <w:rsid w:val="00546F96"/>
    <w:rsid w:val="00547A15"/>
    <w:rsid w:val="0055020E"/>
    <w:rsid w:val="005506C3"/>
    <w:rsid w:val="0055180B"/>
    <w:rsid w:val="00551AEA"/>
    <w:rsid w:val="0055437F"/>
    <w:rsid w:val="0055504C"/>
    <w:rsid w:val="005550B3"/>
    <w:rsid w:val="00555600"/>
    <w:rsid w:val="00555A6A"/>
    <w:rsid w:val="00555AD6"/>
    <w:rsid w:val="00555D79"/>
    <w:rsid w:val="00555EA6"/>
    <w:rsid w:val="00556411"/>
    <w:rsid w:val="00556878"/>
    <w:rsid w:val="00556DE3"/>
    <w:rsid w:val="00557AC5"/>
    <w:rsid w:val="00557CA7"/>
    <w:rsid w:val="005601D9"/>
    <w:rsid w:val="00560885"/>
    <w:rsid w:val="005612AD"/>
    <w:rsid w:val="00561471"/>
    <w:rsid w:val="00561747"/>
    <w:rsid w:val="00562468"/>
    <w:rsid w:val="00562608"/>
    <w:rsid w:val="00562DC6"/>
    <w:rsid w:val="00563145"/>
    <w:rsid w:val="00563789"/>
    <w:rsid w:val="00563AB4"/>
    <w:rsid w:val="00563C00"/>
    <w:rsid w:val="00563C50"/>
    <w:rsid w:val="00563E58"/>
    <w:rsid w:val="005649D5"/>
    <w:rsid w:val="00564D41"/>
    <w:rsid w:val="00565A76"/>
    <w:rsid w:val="00565EB9"/>
    <w:rsid w:val="00566EDC"/>
    <w:rsid w:val="0056729D"/>
    <w:rsid w:val="00567617"/>
    <w:rsid w:val="0056799D"/>
    <w:rsid w:val="00570922"/>
    <w:rsid w:val="00571564"/>
    <w:rsid w:val="00572288"/>
    <w:rsid w:val="00573C7B"/>
    <w:rsid w:val="00573D0C"/>
    <w:rsid w:val="00574447"/>
    <w:rsid w:val="00575341"/>
    <w:rsid w:val="00576063"/>
    <w:rsid w:val="0057666F"/>
    <w:rsid w:val="00576B5B"/>
    <w:rsid w:val="00576EF1"/>
    <w:rsid w:val="00577186"/>
    <w:rsid w:val="005773AA"/>
    <w:rsid w:val="00577910"/>
    <w:rsid w:val="00580489"/>
    <w:rsid w:val="0058084A"/>
    <w:rsid w:val="00580CEF"/>
    <w:rsid w:val="00580DFA"/>
    <w:rsid w:val="00580E2E"/>
    <w:rsid w:val="005814A0"/>
    <w:rsid w:val="0058213F"/>
    <w:rsid w:val="00582858"/>
    <w:rsid w:val="00583222"/>
    <w:rsid w:val="0058341D"/>
    <w:rsid w:val="0058374C"/>
    <w:rsid w:val="00583C5D"/>
    <w:rsid w:val="005844ED"/>
    <w:rsid w:val="005848B6"/>
    <w:rsid w:val="00585186"/>
    <w:rsid w:val="00585905"/>
    <w:rsid w:val="00586ADE"/>
    <w:rsid w:val="00586B13"/>
    <w:rsid w:val="005873A1"/>
    <w:rsid w:val="00587B1B"/>
    <w:rsid w:val="00587E49"/>
    <w:rsid w:val="00590331"/>
    <w:rsid w:val="00590908"/>
    <w:rsid w:val="00590E4C"/>
    <w:rsid w:val="00591AB1"/>
    <w:rsid w:val="00591C3D"/>
    <w:rsid w:val="00591F5F"/>
    <w:rsid w:val="005920F5"/>
    <w:rsid w:val="00592240"/>
    <w:rsid w:val="0059256E"/>
    <w:rsid w:val="00593287"/>
    <w:rsid w:val="0059336E"/>
    <w:rsid w:val="00593D26"/>
    <w:rsid w:val="00594464"/>
    <w:rsid w:val="00595235"/>
    <w:rsid w:val="00595484"/>
    <w:rsid w:val="00595524"/>
    <w:rsid w:val="00595596"/>
    <w:rsid w:val="0059576D"/>
    <w:rsid w:val="005958AD"/>
    <w:rsid w:val="00595B61"/>
    <w:rsid w:val="00595DB3"/>
    <w:rsid w:val="00595E63"/>
    <w:rsid w:val="00596053"/>
    <w:rsid w:val="00596695"/>
    <w:rsid w:val="005970A9"/>
    <w:rsid w:val="00597923"/>
    <w:rsid w:val="00597BA6"/>
    <w:rsid w:val="00597DA5"/>
    <w:rsid w:val="00597FD8"/>
    <w:rsid w:val="005A048A"/>
    <w:rsid w:val="005A0BC5"/>
    <w:rsid w:val="005A0D05"/>
    <w:rsid w:val="005A1031"/>
    <w:rsid w:val="005A127C"/>
    <w:rsid w:val="005A1ACA"/>
    <w:rsid w:val="005A1AE0"/>
    <w:rsid w:val="005A1B82"/>
    <w:rsid w:val="005A2249"/>
    <w:rsid w:val="005A254E"/>
    <w:rsid w:val="005A266B"/>
    <w:rsid w:val="005A2723"/>
    <w:rsid w:val="005A34BD"/>
    <w:rsid w:val="005A364D"/>
    <w:rsid w:val="005A3DA1"/>
    <w:rsid w:val="005A4551"/>
    <w:rsid w:val="005A5061"/>
    <w:rsid w:val="005A513A"/>
    <w:rsid w:val="005A526F"/>
    <w:rsid w:val="005A5696"/>
    <w:rsid w:val="005A6A84"/>
    <w:rsid w:val="005A6D09"/>
    <w:rsid w:val="005A6DF4"/>
    <w:rsid w:val="005A6E00"/>
    <w:rsid w:val="005A77A7"/>
    <w:rsid w:val="005A78CE"/>
    <w:rsid w:val="005A79D3"/>
    <w:rsid w:val="005A7B9D"/>
    <w:rsid w:val="005B0728"/>
    <w:rsid w:val="005B07C8"/>
    <w:rsid w:val="005B10B2"/>
    <w:rsid w:val="005B10D2"/>
    <w:rsid w:val="005B16E5"/>
    <w:rsid w:val="005B1B89"/>
    <w:rsid w:val="005B1E4A"/>
    <w:rsid w:val="005B2375"/>
    <w:rsid w:val="005B2B2A"/>
    <w:rsid w:val="005B3392"/>
    <w:rsid w:val="005B40D8"/>
    <w:rsid w:val="005B4438"/>
    <w:rsid w:val="005B449B"/>
    <w:rsid w:val="005B4B92"/>
    <w:rsid w:val="005B570D"/>
    <w:rsid w:val="005B5895"/>
    <w:rsid w:val="005B6802"/>
    <w:rsid w:val="005B6A16"/>
    <w:rsid w:val="005B6B3F"/>
    <w:rsid w:val="005B7181"/>
    <w:rsid w:val="005B7B3B"/>
    <w:rsid w:val="005C0FF1"/>
    <w:rsid w:val="005C1577"/>
    <w:rsid w:val="005C1A50"/>
    <w:rsid w:val="005C1DBE"/>
    <w:rsid w:val="005C2FF1"/>
    <w:rsid w:val="005C31B2"/>
    <w:rsid w:val="005C3554"/>
    <w:rsid w:val="005C357D"/>
    <w:rsid w:val="005C35EE"/>
    <w:rsid w:val="005C3CD6"/>
    <w:rsid w:val="005C43D4"/>
    <w:rsid w:val="005C483C"/>
    <w:rsid w:val="005C4A6D"/>
    <w:rsid w:val="005C4BE0"/>
    <w:rsid w:val="005C551F"/>
    <w:rsid w:val="005C6159"/>
    <w:rsid w:val="005C6703"/>
    <w:rsid w:val="005C6A00"/>
    <w:rsid w:val="005C6A9A"/>
    <w:rsid w:val="005C6C8F"/>
    <w:rsid w:val="005C779F"/>
    <w:rsid w:val="005C7A86"/>
    <w:rsid w:val="005C7CDA"/>
    <w:rsid w:val="005C7FAA"/>
    <w:rsid w:val="005D05C5"/>
    <w:rsid w:val="005D087D"/>
    <w:rsid w:val="005D0FCE"/>
    <w:rsid w:val="005D1362"/>
    <w:rsid w:val="005D158A"/>
    <w:rsid w:val="005D15AB"/>
    <w:rsid w:val="005D1C00"/>
    <w:rsid w:val="005D1DF3"/>
    <w:rsid w:val="005D206C"/>
    <w:rsid w:val="005D2110"/>
    <w:rsid w:val="005D30C9"/>
    <w:rsid w:val="005D3277"/>
    <w:rsid w:val="005D356F"/>
    <w:rsid w:val="005D3772"/>
    <w:rsid w:val="005D3897"/>
    <w:rsid w:val="005D40CF"/>
    <w:rsid w:val="005D4C86"/>
    <w:rsid w:val="005D4E46"/>
    <w:rsid w:val="005D63B6"/>
    <w:rsid w:val="005D6659"/>
    <w:rsid w:val="005D673E"/>
    <w:rsid w:val="005D681E"/>
    <w:rsid w:val="005D6A7A"/>
    <w:rsid w:val="005D6FC0"/>
    <w:rsid w:val="005D77A3"/>
    <w:rsid w:val="005D7848"/>
    <w:rsid w:val="005D7962"/>
    <w:rsid w:val="005D7B43"/>
    <w:rsid w:val="005D7E2D"/>
    <w:rsid w:val="005E03B2"/>
    <w:rsid w:val="005E085E"/>
    <w:rsid w:val="005E0B41"/>
    <w:rsid w:val="005E0F9C"/>
    <w:rsid w:val="005E1426"/>
    <w:rsid w:val="005E1520"/>
    <w:rsid w:val="005E18DE"/>
    <w:rsid w:val="005E1E41"/>
    <w:rsid w:val="005E1E90"/>
    <w:rsid w:val="005E1ED5"/>
    <w:rsid w:val="005E2058"/>
    <w:rsid w:val="005E2083"/>
    <w:rsid w:val="005E2377"/>
    <w:rsid w:val="005E2411"/>
    <w:rsid w:val="005E2CFB"/>
    <w:rsid w:val="005E31F2"/>
    <w:rsid w:val="005E32B0"/>
    <w:rsid w:val="005E34C4"/>
    <w:rsid w:val="005E3576"/>
    <w:rsid w:val="005E3CC4"/>
    <w:rsid w:val="005E3D6F"/>
    <w:rsid w:val="005E4806"/>
    <w:rsid w:val="005E5D59"/>
    <w:rsid w:val="005E7582"/>
    <w:rsid w:val="005E7C6C"/>
    <w:rsid w:val="005F04F9"/>
    <w:rsid w:val="005F0923"/>
    <w:rsid w:val="005F0955"/>
    <w:rsid w:val="005F11C7"/>
    <w:rsid w:val="005F178F"/>
    <w:rsid w:val="005F1DCE"/>
    <w:rsid w:val="005F2D9F"/>
    <w:rsid w:val="005F339E"/>
    <w:rsid w:val="005F36ED"/>
    <w:rsid w:val="005F40BF"/>
    <w:rsid w:val="005F4131"/>
    <w:rsid w:val="005F4160"/>
    <w:rsid w:val="005F45B4"/>
    <w:rsid w:val="005F490E"/>
    <w:rsid w:val="005F4A77"/>
    <w:rsid w:val="005F4DC1"/>
    <w:rsid w:val="005F5700"/>
    <w:rsid w:val="005F5A83"/>
    <w:rsid w:val="005F5CF1"/>
    <w:rsid w:val="005F6A68"/>
    <w:rsid w:val="005F6DEB"/>
    <w:rsid w:val="005F7423"/>
    <w:rsid w:val="005F7829"/>
    <w:rsid w:val="006003DE"/>
    <w:rsid w:val="006004DA"/>
    <w:rsid w:val="00600607"/>
    <w:rsid w:val="0060067F"/>
    <w:rsid w:val="00600BC3"/>
    <w:rsid w:val="006019DE"/>
    <w:rsid w:val="00601AD6"/>
    <w:rsid w:val="00601B85"/>
    <w:rsid w:val="00602022"/>
    <w:rsid w:val="006026FE"/>
    <w:rsid w:val="00602A78"/>
    <w:rsid w:val="00602A8E"/>
    <w:rsid w:val="00602FE5"/>
    <w:rsid w:val="00603144"/>
    <w:rsid w:val="00603254"/>
    <w:rsid w:val="006032BB"/>
    <w:rsid w:val="00603373"/>
    <w:rsid w:val="00603BBB"/>
    <w:rsid w:val="0060428B"/>
    <w:rsid w:val="00604713"/>
    <w:rsid w:val="0060489D"/>
    <w:rsid w:val="006051D8"/>
    <w:rsid w:val="006055C1"/>
    <w:rsid w:val="00605871"/>
    <w:rsid w:val="006070BB"/>
    <w:rsid w:val="00607249"/>
    <w:rsid w:val="00607275"/>
    <w:rsid w:val="00610606"/>
    <w:rsid w:val="006112C3"/>
    <w:rsid w:val="00611FB2"/>
    <w:rsid w:val="0061246C"/>
    <w:rsid w:val="0061251B"/>
    <w:rsid w:val="0061290D"/>
    <w:rsid w:val="00612B10"/>
    <w:rsid w:val="00612E2A"/>
    <w:rsid w:val="00613412"/>
    <w:rsid w:val="00613598"/>
    <w:rsid w:val="00613BED"/>
    <w:rsid w:val="00613C83"/>
    <w:rsid w:val="0061426A"/>
    <w:rsid w:val="0061429A"/>
    <w:rsid w:val="00614773"/>
    <w:rsid w:val="00615586"/>
    <w:rsid w:val="006158C0"/>
    <w:rsid w:val="00615F3C"/>
    <w:rsid w:val="006163B3"/>
    <w:rsid w:val="006164A2"/>
    <w:rsid w:val="006165BC"/>
    <w:rsid w:val="00616BEE"/>
    <w:rsid w:val="00616F86"/>
    <w:rsid w:val="006170C1"/>
    <w:rsid w:val="00617234"/>
    <w:rsid w:val="00620167"/>
    <w:rsid w:val="006204AF"/>
    <w:rsid w:val="00620664"/>
    <w:rsid w:val="00620B55"/>
    <w:rsid w:val="006211EA"/>
    <w:rsid w:val="00621458"/>
    <w:rsid w:val="00621475"/>
    <w:rsid w:val="0062185A"/>
    <w:rsid w:val="00622A85"/>
    <w:rsid w:val="00622C48"/>
    <w:rsid w:val="00622EC4"/>
    <w:rsid w:val="00623D75"/>
    <w:rsid w:val="00624331"/>
    <w:rsid w:val="0062468B"/>
    <w:rsid w:val="00625C6D"/>
    <w:rsid w:val="0062620C"/>
    <w:rsid w:val="00626493"/>
    <w:rsid w:val="006268B7"/>
    <w:rsid w:val="00626B4F"/>
    <w:rsid w:val="00627A1F"/>
    <w:rsid w:val="00627AC4"/>
    <w:rsid w:val="00627F31"/>
    <w:rsid w:val="006309F3"/>
    <w:rsid w:val="00631AEA"/>
    <w:rsid w:val="00632DAC"/>
    <w:rsid w:val="00632E5B"/>
    <w:rsid w:val="006338ED"/>
    <w:rsid w:val="00633DC0"/>
    <w:rsid w:val="00633E99"/>
    <w:rsid w:val="00634391"/>
    <w:rsid w:val="00634A1A"/>
    <w:rsid w:val="00634DEF"/>
    <w:rsid w:val="00635054"/>
    <w:rsid w:val="00635EC5"/>
    <w:rsid w:val="006368F1"/>
    <w:rsid w:val="00636BFF"/>
    <w:rsid w:val="00636CB0"/>
    <w:rsid w:val="00636CEB"/>
    <w:rsid w:val="006371E7"/>
    <w:rsid w:val="00637267"/>
    <w:rsid w:val="00637A66"/>
    <w:rsid w:val="00637B96"/>
    <w:rsid w:val="00637E83"/>
    <w:rsid w:val="00640032"/>
    <w:rsid w:val="006401CA"/>
    <w:rsid w:val="006402C3"/>
    <w:rsid w:val="00640672"/>
    <w:rsid w:val="00640B8B"/>
    <w:rsid w:val="00640BC5"/>
    <w:rsid w:val="0064115D"/>
    <w:rsid w:val="00641854"/>
    <w:rsid w:val="00642E5C"/>
    <w:rsid w:val="00643036"/>
    <w:rsid w:val="00643EC5"/>
    <w:rsid w:val="0064443D"/>
    <w:rsid w:val="00644BD6"/>
    <w:rsid w:val="006457E9"/>
    <w:rsid w:val="00645891"/>
    <w:rsid w:val="00645CD1"/>
    <w:rsid w:val="00646070"/>
    <w:rsid w:val="00646BD5"/>
    <w:rsid w:val="006473A6"/>
    <w:rsid w:val="006473F6"/>
    <w:rsid w:val="006475FB"/>
    <w:rsid w:val="006507AD"/>
    <w:rsid w:val="00650C80"/>
    <w:rsid w:val="006518B3"/>
    <w:rsid w:val="00651F62"/>
    <w:rsid w:val="00652869"/>
    <w:rsid w:val="00652AD3"/>
    <w:rsid w:val="00653085"/>
    <w:rsid w:val="0065314D"/>
    <w:rsid w:val="0065325A"/>
    <w:rsid w:val="006533F6"/>
    <w:rsid w:val="00653641"/>
    <w:rsid w:val="006536E3"/>
    <w:rsid w:val="00653F7F"/>
    <w:rsid w:val="00654320"/>
    <w:rsid w:val="0065464B"/>
    <w:rsid w:val="006548DF"/>
    <w:rsid w:val="00654E98"/>
    <w:rsid w:val="00655260"/>
    <w:rsid w:val="006554D1"/>
    <w:rsid w:val="006557DE"/>
    <w:rsid w:val="006558B3"/>
    <w:rsid w:val="00656812"/>
    <w:rsid w:val="006571E6"/>
    <w:rsid w:val="00657A6F"/>
    <w:rsid w:val="00660675"/>
    <w:rsid w:val="00660FF6"/>
    <w:rsid w:val="00661B7E"/>
    <w:rsid w:val="00661F1F"/>
    <w:rsid w:val="006624F1"/>
    <w:rsid w:val="00663D25"/>
    <w:rsid w:val="00664031"/>
    <w:rsid w:val="00664C55"/>
    <w:rsid w:val="00664EAD"/>
    <w:rsid w:val="006659EC"/>
    <w:rsid w:val="006663B1"/>
    <w:rsid w:val="0066654A"/>
    <w:rsid w:val="00666801"/>
    <w:rsid w:val="00667115"/>
    <w:rsid w:val="00670221"/>
    <w:rsid w:val="006704CB"/>
    <w:rsid w:val="00670A20"/>
    <w:rsid w:val="00670F9E"/>
    <w:rsid w:val="006710F4"/>
    <w:rsid w:val="006715A1"/>
    <w:rsid w:val="00671DCE"/>
    <w:rsid w:val="00672283"/>
    <w:rsid w:val="00672513"/>
    <w:rsid w:val="00672A8D"/>
    <w:rsid w:val="0067340E"/>
    <w:rsid w:val="00674063"/>
    <w:rsid w:val="0067462C"/>
    <w:rsid w:val="00674712"/>
    <w:rsid w:val="00674A0B"/>
    <w:rsid w:val="00674BC8"/>
    <w:rsid w:val="00675317"/>
    <w:rsid w:val="00675702"/>
    <w:rsid w:val="0067671D"/>
    <w:rsid w:val="006769C1"/>
    <w:rsid w:val="00676C63"/>
    <w:rsid w:val="00676DA5"/>
    <w:rsid w:val="00677364"/>
    <w:rsid w:val="00677C07"/>
    <w:rsid w:val="006804C2"/>
    <w:rsid w:val="00680668"/>
    <w:rsid w:val="00680F7E"/>
    <w:rsid w:val="0068127D"/>
    <w:rsid w:val="00681284"/>
    <w:rsid w:val="006814B1"/>
    <w:rsid w:val="00681A33"/>
    <w:rsid w:val="00681ADF"/>
    <w:rsid w:val="0068277C"/>
    <w:rsid w:val="006827CC"/>
    <w:rsid w:val="00682D03"/>
    <w:rsid w:val="0068333C"/>
    <w:rsid w:val="00683E91"/>
    <w:rsid w:val="006840DD"/>
    <w:rsid w:val="0068424A"/>
    <w:rsid w:val="00684905"/>
    <w:rsid w:val="00684DD2"/>
    <w:rsid w:val="00685169"/>
    <w:rsid w:val="00685502"/>
    <w:rsid w:val="006863C0"/>
    <w:rsid w:val="00686956"/>
    <w:rsid w:val="00686F5F"/>
    <w:rsid w:val="00687A50"/>
    <w:rsid w:val="00687B8E"/>
    <w:rsid w:val="00687DBD"/>
    <w:rsid w:val="0069005F"/>
    <w:rsid w:val="00690482"/>
    <w:rsid w:val="00691C6C"/>
    <w:rsid w:val="00691D5A"/>
    <w:rsid w:val="006921F8"/>
    <w:rsid w:val="0069232F"/>
    <w:rsid w:val="00692884"/>
    <w:rsid w:val="00692B21"/>
    <w:rsid w:val="00692F7D"/>
    <w:rsid w:val="00693471"/>
    <w:rsid w:val="00693729"/>
    <w:rsid w:val="006937A1"/>
    <w:rsid w:val="006942E0"/>
    <w:rsid w:val="0069496B"/>
    <w:rsid w:val="00694CDF"/>
    <w:rsid w:val="00695C79"/>
    <w:rsid w:val="00696413"/>
    <w:rsid w:val="006965AE"/>
    <w:rsid w:val="00696654"/>
    <w:rsid w:val="00696E27"/>
    <w:rsid w:val="006971F5"/>
    <w:rsid w:val="00697574"/>
    <w:rsid w:val="006975C7"/>
    <w:rsid w:val="00697DF4"/>
    <w:rsid w:val="006A0176"/>
    <w:rsid w:val="006A0BBF"/>
    <w:rsid w:val="006A0EFC"/>
    <w:rsid w:val="006A11BA"/>
    <w:rsid w:val="006A23D3"/>
    <w:rsid w:val="006A25D1"/>
    <w:rsid w:val="006A2D97"/>
    <w:rsid w:val="006A311F"/>
    <w:rsid w:val="006A362A"/>
    <w:rsid w:val="006A374F"/>
    <w:rsid w:val="006A3B11"/>
    <w:rsid w:val="006A4341"/>
    <w:rsid w:val="006A460C"/>
    <w:rsid w:val="006A50EB"/>
    <w:rsid w:val="006A60AA"/>
    <w:rsid w:val="006A725C"/>
    <w:rsid w:val="006A73D2"/>
    <w:rsid w:val="006A7BF0"/>
    <w:rsid w:val="006A7F9F"/>
    <w:rsid w:val="006B0304"/>
    <w:rsid w:val="006B035F"/>
    <w:rsid w:val="006B0396"/>
    <w:rsid w:val="006B03BF"/>
    <w:rsid w:val="006B07C2"/>
    <w:rsid w:val="006B08DE"/>
    <w:rsid w:val="006B1154"/>
    <w:rsid w:val="006B1CAA"/>
    <w:rsid w:val="006B2498"/>
    <w:rsid w:val="006B25FE"/>
    <w:rsid w:val="006B2C2D"/>
    <w:rsid w:val="006B352A"/>
    <w:rsid w:val="006B4085"/>
    <w:rsid w:val="006B4098"/>
    <w:rsid w:val="006B4221"/>
    <w:rsid w:val="006B4D68"/>
    <w:rsid w:val="006B4F79"/>
    <w:rsid w:val="006B5A51"/>
    <w:rsid w:val="006B738D"/>
    <w:rsid w:val="006B746F"/>
    <w:rsid w:val="006B768F"/>
    <w:rsid w:val="006B7A7C"/>
    <w:rsid w:val="006C0519"/>
    <w:rsid w:val="006C0BA1"/>
    <w:rsid w:val="006C0C3A"/>
    <w:rsid w:val="006C0E05"/>
    <w:rsid w:val="006C0E20"/>
    <w:rsid w:val="006C0FDE"/>
    <w:rsid w:val="006C189F"/>
    <w:rsid w:val="006C19A6"/>
    <w:rsid w:val="006C2CC1"/>
    <w:rsid w:val="006C2E65"/>
    <w:rsid w:val="006C3131"/>
    <w:rsid w:val="006C360A"/>
    <w:rsid w:val="006C3613"/>
    <w:rsid w:val="006C3CA9"/>
    <w:rsid w:val="006C42F2"/>
    <w:rsid w:val="006C42FF"/>
    <w:rsid w:val="006C49F0"/>
    <w:rsid w:val="006C4BB0"/>
    <w:rsid w:val="006C4CF4"/>
    <w:rsid w:val="006C4CFC"/>
    <w:rsid w:val="006C6448"/>
    <w:rsid w:val="006C64D7"/>
    <w:rsid w:val="006C6B89"/>
    <w:rsid w:val="006C7489"/>
    <w:rsid w:val="006C7B76"/>
    <w:rsid w:val="006C7C05"/>
    <w:rsid w:val="006D00AB"/>
    <w:rsid w:val="006D00F8"/>
    <w:rsid w:val="006D062F"/>
    <w:rsid w:val="006D0CFC"/>
    <w:rsid w:val="006D0F3F"/>
    <w:rsid w:val="006D17BA"/>
    <w:rsid w:val="006D2031"/>
    <w:rsid w:val="006D279D"/>
    <w:rsid w:val="006D2A12"/>
    <w:rsid w:val="006D33B8"/>
    <w:rsid w:val="006D3B7C"/>
    <w:rsid w:val="006D4A65"/>
    <w:rsid w:val="006D5094"/>
    <w:rsid w:val="006D5AF4"/>
    <w:rsid w:val="006D61F3"/>
    <w:rsid w:val="006D6C45"/>
    <w:rsid w:val="006D6DEE"/>
    <w:rsid w:val="006D6DFE"/>
    <w:rsid w:val="006D761C"/>
    <w:rsid w:val="006D7821"/>
    <w:rsid w:val="006D78FA"/>
    <w:rsid w:val="006E04FA"/>
    <w:rsid w:val="006E09BE"/>
    <w:rsid w:val="006E0E53"/>
    <w:rsid w:val="006E21A5"/>
    <w:rsid w:val="006E2662"/>
    <w:rsid w:val="006E266F"/>
    <w:rsid w:val="006E332B"/>
    <w:rsid w:val="006E3CAB"/>
    <w:rsid w:val="006E3DD8"/>
    <w:rsid w:val="006E3E2E"/>
    <w:rsid w:val="006E45CA"/>
    <w:rsid w:val="006E4B64"/>
    <w:rsid w:val="006E4C91"/>
    <w:rsid w:val="006E58E7"/>
    <w:rsid w:val="006E59DA"/>
    <w:rsid w:val="006E5B2E"/>
    <w:rsid w:val="006E5BB0"/>
    <w:rsid w:val="006E5FFD"/>
    <w:rsid w:val="006E6BB7"/>
    <w:rsid w:val="006E75BD"/>
    <w:rsid w:val="006E760D"/>
    <w:rsid w:val="006E7743"/>
    <w:rsid w:val="006E78E6"/>
    <w:rsid w:val="006E7C56"/>
    <w:rsid w:val="006E7C86"/>
    <w:rsid w:val="006F054D"/>
    <w:rsid w:val="006F07FD"/>
    <w:rsid w:val="006F12B4"/>
    <w:rsid w:val="006F272D"/>
    <w:rsid w:val="006F2D3E"/>
    <w:rsid w:val="006F2F2D"/>
    <w:rsid w:val="006F30EB"/>
    <w:rsid w:val="006F321E"/>
    <w:rsid w:val="006F348D"/>
    <w:rsid w:val="006F3504"/>
    <w:rsid w:val="006F354D"/>
    <w:rsid w:val="006F4346"/>
    <w:rsid w:val="006F4480"/>
    <w:rsid w:val="006F4F9B"/>
    <w:rsid w:val="006F5279"/>
    <w:rsid w:val="006F61C9"/>
    <w:rsid w:val="006F67DF"/>
    <w:rsid w:val="006F6A59"/>
    <w:rsid w:val="006F6FDF"/>
    <w:rsid w:val="006F700B"/>
    <w:rsid w:val="006F77B6"/>
    <w:rsid w:val="006F7F86"/>
    <w:rsid w:val="00700116"/>
    <w:rsid w:val="00700E80"/>
    <w:rsid w:val="00701757"/>
    <w:rsid w:val="00701B7C"/>
    <w:rsid w:val="00702935"/>
    <w:rsid w:val="00703030"/>
    <w:rsid w:val="00703730"/>
    <w:rsid w:val="00703B09"/>
    <w:rsid w:val="00703D8B"/>
    <w:rsid w:val="00703FC3"/>
    <w:rsid w:val="00704146"/>
    <w:rsid w:val="00706859"/>
    <w:rsid w:val="00706E0B"/>
    <w:rsid w:val="00707873"/>
    <w:rsid w:val="0071015A"/>
    <w:rsid w:val="007102B6"/>
    <w:rsid w:val="00710568"/>
    <w:rsid w:val="00710686"/>
    <w:rsid w:val="00710693"/>
    <w:rsid w:val="00710709"/>
    <w:rsid w:val="00711168"/>
    <w:rsid w:val="007117BB"/>
    <w:rsid w:val="00711D74"/>
    <w:rsid w:val="00711F8D"/>
    <w:rsid w:val="007123AF"/>
    <w:rsid w:val="00712466"/>
    <w:rsid w:val="007128B4"/>
    <w:rsid w:val="00713883"/>
    <w:rsid w:val="007139B8"/>
    <w:rsid w:val="00713FF3"/>
    <w:rsid w:val="00714744"/>
    <w:rsid w:val="007147EE"/>
    <w:rsid w:val="00714ABE"/>
    <w:rsid w:val="00714F5D"/>
    <w:rsid w:val="00715612"/>
    <w:rsid w:val="00715DC5"/>
    <w:rsid w:val="00715EE0"/>
    <w:rsid w:val="00716362"/>
    <w:rsid w:val="007165B9"/>
    <w:rsid w:val="00720155"/>
    <w:rsid w:val="00720353"/>
    <w:rsid w:val="00720492"/>
    <w:rsid w:val="00720790"/>
    <w:rsid w:val="007208B5"/>
    <w:rsid w:val="00720A40"/>
    <w:rsid w:val="00720C38"/>
    <w:rsid w:val="00720E31"/>
    <w:rsid w:val="0072169B"/>
    <w:rsid w:val="007216D9"/>
    <w:rsid w:val="00721A71"/>
    <w:rsid w:val="00721C1A"/>
    <w:rsid w:val="00721E6F"/>
    <w:rsid w:val="007224C4"/>
    <w:rsid w:val="00722DDC"/>
    <w:rsid w:val="00723192"/>
    <w:rsid w:val="007238A0"/>
    <w:rsid w:val="00723F4B"/>
    <w:rsid w:val="00724223"/>
    <w:rsid w:val="007247CD"/>
    <w:rsid w:val="00724CC5"/>
    <w:rsid w:val="0072710E"/>
    <w:rsid w:val="0072787F"/>
    <w:rsid w:val="00727D69"/>
    <w:rsid w:val="00727D97"/>
    <w:rsid w:val="007302A3"/>
    <w:rsid w:val="00730961"/>
    <w:rsid w:val="00730C88"/>
    <w:rsid w:val="00732169"/>
    <w:rsid w:val="0073254B"/>
    <w:rsid w:val="00732EEC"/>
    <w:rsid w:val="0073313D"/>
    <w:rsid w:val="0073316F"/>
    <w:rsid w:val="00733645"/>
    <w:rsid w:val="00733B30"/>
    <w:rsid w:val="007349BE"/>
    <w:rsid w:val="00734D23"/>
    <w:rsid w:val="007351D2"/>
    <w:rsid w:val="0073548F"/>
    <w:rsid w:val="00735B9D"/>
    <w:rsid w:val="00735CF3"/>
    <w:rsid w:val="0073608F"/>
    <w:rsid w:val="007364AF"/>
    <w:rsid w:val="00736E79"/>
    <w:rsid w:val="0073710C"/>
    <w:rsid w:val="007374D5"/>
    <w:rsid w:val="007403A2"/>
    <w:rsid w:val="007418AA"/>
    <w:rsid w:val="00741A5D"/>
    <w:rsid w:val="007422F4"/>
    <w:rsid w:val="00742376"/>
    <w:rsid w:val="0074244F"/>
    <w:rsid w:val="00742C02"/>
    <w:rsid w:val="00742CFE"/>
    <w:rsid w:val="00742D7A"/>
    <w:rsid w:val="00742E4F"/>
    <w:rsid w:val="007439D8"/>
    <w:rsid w:val="00743D14"/>
    <w:rsid w:val="0074424C"/>
    <w:rsid w:val="00744BDF"/>
    <w:rsid w:val="00744EC6"/>
    <w:rsid w:val="0074540B"/>
    <w:rsid w:val="00745447"/>
    <w:rsid w:val="0074618F"/>
    <w:rsid w:val="00746398"/>
    <w:rsid w:val="00746498"/>
    <w:rsid w:val="00746D44"/>
    <w:rsid w:val="00746D9A"/>
    <w:rsid w:val="007478FB"/>
    <w:rsid w:val="00747B50"/>
    <w:rsid w:val="00747C63"/>
    <w:rsid w:val="00750092"/>
    <w:rsid w:val="007500C8"/>
    <w:rsid w:val="00750204"/>
    <w:rsid w:val="00751252"/>
    <w:rsid w:val="00751373"/>
    <w:rsid w:val="007519DE"/>
    <w:rsid w:val="0075215D"/>
    <w:rsid w:val="007524C3"/>
    <w:rsid w:val="00752AA2"/>
    <w:rsid w:val="007530A9"/>
    <w:rsid w:val="007544AC"/>
    <w:rsid w:val="00754572"/>
    <w:rsid w:val="00754870"/>
    <w:rsid w:val="00754ED4"/>
    <w:rsid w:val="007553D8"/>
    <w:rsid w:val="0075545F"/>
    <w:rsid w:val="007565B6"/>
    <w:rsid w:val="007567AA"/>
    <w:rsid w:val="00756B17"/>
    <w:rsid w:val="00756D4F"/>
    <w:rsid w:val="00756DDE"/>
    <w:rsid w:val="00756F73"/>
    <w:rsid w:val="00756FD1"/>
    <w:rsid w:val="0075720C"/>
    <w:rsid w:val="00757404"/>
    <w:rsid w:val="0075747A"/>
    <w:rsid w:val="00757606"/>
    <w:rsid w:val="0075797A"/>
    <w:rsid w:val="00757980"/>
    <w:rsid w:val="007579D2"/>
    <w:rsid w:val="00757A42"/>
    <w:rsid w:val="00757BB3"/>
    <w:rsid w:val="007607E3"/>
    <w:rsid w:val="00760B41"/>
    <w:rsid w:val="00760DD9"/>
    <w:rsid w:val="00761AAA"/>
    <w:rsid w:val="00761E71"/>
    <w:rsid w:val="007620D5"/>
    <w:rsid w:val="007624E7"/>
    <w:rsid w:val="00762511"/>
    <w:rsid w:val="00764117"/>
    <w:rsid w:val="00764907"/>
    <w:rsid w:val="00764EA8"/>
    <w:rsid w:val="00765795"/>
    <w:rsid w:val="00766522"/>
    <w:rsid w:val="00766CB3"/>
    <w:rsid w:val="0076763F"/>
    <w:rsid w:val="007677F1"/>
    <w:rsid w:val="00767820"/>
    <w:rsid w:val="00767FF9"/>
    <w:rsid w:val="00770387"/>
    <w:rsid w:val="0077072A"/>
    <w:rsid w:val="00770BF8"/>
    <w:rsid w:val="00770CBC"/>
    <w:rsid w:val="007712D1"/>
    <w:rsid w:val="007715AA"/>
    <w:rsid w:val="00771B82"/>
    <w:rsid w:val="00771E08"/>
    <w:rsid w:val="007725F8"/>
    <w:rsid w:val="007734E2"/>
    <w:rsid w:val="00773A78"/>
    <w:rsid w:val="00773B4E"/>
    <w:rsid w:val="00774419"/>
    <w:rsid w:val="0077442A"/>
    <w:rsid w:val="00774F46"/>
    <w:rsid w:val="00774FF2"/>
    <w:rsid w:val="007750C0"/>
    <w:rsid w:val="00775114"/>
    <w:rsid w:val="00775235"/>
    <w:rsid w:val="00775DAA"/>
    <w:rsid w:val="007767B8"/>
    <w:rsid w:val="00776B4D"/>
    <w:rsid w:val="0077701C"/>
    <w:rsid w:val="00777129"/>
    <w:rsid w:val="00777433"/>
    <w:rsid w:val="00777FBB"/>
    <w:rsid w:val="0078007E"/>
    <w:rsid w:val="0078047C"/>
    <w:rsid w:val="00780C92"/>
    <w:rsid w:val="00780D55"/>
    <w:rsid w:val="0078110B"/>
    <w:rsid w:val="00781281"/>
    <w:rsid w:val="00781407"/>
    <w:rsid w:val="00781848"/>
    <w:rsid w:val="00782272"/>
    <w:rsid w:val="007822F8"/>
    <w:rsid w:val="00783183"/>
    <w:rsid w:val="00783A7A"/>
    <w:rsid w:val="0078444C"/>
    <w:rsid w:val="00784501"/>
    <w:rsid w:val="0078454D"/>
    <w:rsid w:val="007847E0"/>
    <w:rsid w:val="00784E76"/>
    <w:rsid w:val="00784F4E"/>
    <w:rsid w:val="00785F95"/>
    <w:rsid w:val="00786011"/>
    <w:rsid w:val="00786B34"/>
    <w:rsid w:val="007870DE"/>
    <w:rsid w:val="007871A6"/>
    <w:rsid w:val="00787659"/>
    <w:rsid w:val="00787855"/>
    <w:rsid w:val="0079004D"/>
    <w:rsid w:val="0079040B"/>
    <w:rsid w:val="00790421"/>
    <w:rsid w:val="00790678"/>
    <w:rsid w:val="00790756"/>
    <w:rsid w:val="00790A59"/>
    <w:rsid w:val="007910EB"/>
    <w:rsid w:val="00791216"/>
    <w:rsid w:val="007912D0"/>
    <w:rsid w:val="00791BF5"/>
    <w:rsid w:val="00792364"/>
    <w:rsid w:val="007925E5"/>
    <w:rsid w:val="00792A24"/>
    <w:rsid w:val="00792E7E"/>
    <w:rsid w:val="007934D2"/>
    <w:rsid w:val="00793779"/>
    <w:rsid w:val="00793925"/>
    <w:rsid w:val="00793BAC"/>
    <w:rsid w:val="00794626"/>
    <w:rsid w:val="00794637"/>
    <w:rsid w:val="00794677"/>
    <w:rsid w:val="0079473B"/>
    <w:rsid w:val="007947BD"/>
    <w:rsid w:val="0079481C"/>
    <w:rsid w:val="00794ADE"/>
    <w:rsid w:val="0079536B"/>
    <w:rsid w:val="00795767"/>
    <w:rsid w:val="00796179"/>
    <w:rsid w:val="00796819"/>
    <w:rsid w:val="00796DF3"/>
    <w:rsid w:val="00797F55"/>
    <w:rsid w:val="007A07E4"/>
    <w:rsid w:val="007A0857"/>
    <w:rsid w:val="007A112F"/>
    <w:rsid w:val="007A15D0"/>
    <w:rsid w:val="007A17D1"/>
    <w:rsid w:val="007A1A97"/>
    <w:rsid w:val="007A1B66"/>
    <w:rsid w:val="007A1DF6"/>
    <w:rsid w:val="007A2430"/>
    <w:rsid w:val="007A2A38"/>
    <w:rsid w:val="007A3845"/>
    <w:rsid w:val="007A38C9"/>
    <w:rsid w:val="007A3B03"/>
    <w:rsid w:val="007A3F62"/>
    <w:rsid w:val="007A4295"/>
    <w:rsid w:val="007A4A12"/>
    <w:rsid w:val="007A4DC5"/>
    <w:rsid w:val="007A5AD4"/>
    <w:rsid w:val="007A5B64"/>
    <w:rsid w:val="007A5E0C"/>
    <w:rsid w:val="007A74F5"/>
    <w:rsid w:val="007A74FF"/>
    <w:rsid w:val="007A7807"/>
    <w:rsid w:val="007A7A74"/>
    <w:rsid w:val="007A7B00"/>
    <w:rsid w:val="007B051C"/>
    <w:rsid w:val="007B0938"/>
    <w:rsid w:val="007B131C"/>
    <w:rsid w:val="007B18EC"/>
    <w:rsid w:val="007B1EFA"/>
    <w:rsid w:val="007B28EC"/>
    <w:rsid w:val="007B5A28"/>
    <w:rsid w:val="007B5D3B"/>
    <w:rsid w:val="007B60EC"/>
    <w:rsid w:val="007B6193"/>
    <w:rsid w:val="007B65A1"/>
    <w:rsid w:val="007B6715"/>
    <w:rsid w:val="007B6945"/>
    <w:rsid w:val="007B6A2E"/>
    <w:rsid w:val="007B6B20"/>
    <w:rsid w:val="007B73E5"/>
    <w:rsid w:val="007B7505"/>
    <w:rsid w:val="007C015A"/>
    <w:rsid w:val="007C05D0"/>
    <w:rsid w:val="007C05E2"/>
    <w:rsid w:val="007C09E1"/>
    <w:rsid w:val="007C0BAA"/>
    <w:rsid w:val="007C0DA4"/>
    <w:rsid w:val="007C0E2F"/>
    <w:rsid w:val="007C0F81"/>
    <w:rsid w:val="007C1565"/>
    <w:rsid w:val="007C173C"/>
    <w:rsid w:val="007C1A23"/>
    <w:rsid w:val="007C231B"/>
    <w:rsid w:val="007C2480"/>
    <w:rsid w:val="007C3C56"/>
    <w:rsid w:val="007C42EB"/>
    <w:rsid w:val="007C440B"/>
    <w:rsid w:val="007C4538"/>
    <w:rsid w:val="007C4EEB"/>
    <w:rsid w:val="007C5202"/>
    <w:rsid w:val="007C5799"/>
    <w:rsid w:val="007C6347"/>
    <w:rsid w:val="007C67D4"/>
    <w:rsid w:val="007C6BB8"/>
    <w:rsid w:val="007C7838"/>
    <w:rsid w:val="007C7CE4"/>
    <w:rsid w:val="007D0F23"/>
    <w:rsid w:val="007D13CA"/>
    <w:rsid w:val="007D2D59"/>
    <w:rsid w:val="007D3469"/>
    <w:rsid w:val="007D368B"/>
    <w:rsid w:val="007D4008"/>
    <w:rsid w:val="007D4249"/>
    <w:rsid w:val="007D4A64"/>
    <w:rsid w:val="007D5313"/>
    <w:rsid w:val="007D59BA"/>
    <w:rsid w:val="007D5EAD"/>
    <w:rsid w:val="007D6785"/>
    <w:rsid w:val="007D6CEE"/>
    <w:rsid w:val="007D7304"/>
    <w:rsid w:val="007D7772"/>
    <w:rsid w:val="007E06C8"/>
    <w:rsid w:val="007E0AB1"/>
    <w:rsid w:val="007E13FC"/>
    <w:rsid w:val="007E29C4"/>
    <w:rsid w:val="007E37D2"/>
    <w:rsid w:val="007E41D7"/>
    <w:rsid w:val="007E4566"/>
    <w:rsid w:val="007E4738"/>
    <w:rsid w:val="007E4921"/>
    <w:rsid w:val="007E4C0C"/>
    <w:rsid w:val="007E53BF"/>
    <w:rsid w:val="007E6B94"/>
    <w:rsid w:val="007E6E87"/>
    <w:rsid w:val="007E6ED1"/>
    <w:rsid w:val="007E780C"/>
    <w:rsid w:val="007E788B"/>
    <w:rsid w:val="007E7ADB"/>
    <w:rsid w:val="007F00D0"/>
    <w:rsid w:val="007F00DE"/>
    <w:rsid w:val="007F05D4"/>
    <w:rsid w:val="007F0C86"/>
    <w:rsid w:val="007F12F9"/>
    <w:rsid w:val="007F16F4"/>
    <w:rsid w:val="007F19FB"/>
    <w:rsid w:val="007F1CB2"/>
    <w:rsid w:val="007F1CC3"/>
    <w:rsid w:val="007F1DD4"/>
    <w:rsid w:val="007F21F3"/>
    <w:rsid w:val="007F2277"/>
    <w:rsid w:val="007F24EB"/>
    <w:rsid w:val="007F3938"/>
    <w:rsid w:val="007F44C3"/>
    <w:rsid w:val="007F44F7"/>
    <w:rsid w:val="007F451A"/>
    <w:rsid w:val="007F4831"/>
    <w:rsid w:val="007F5F94"/>
    <w:rsid w:val="007F625E"/>
    <w:rsid w:val="007F649E"/>
    <w:rsid w:val="007F6643"/>
    <w:rsid w:val="00800895"/>
    <w:rsid w:val="00801F6D"/>
    <w:rsid w:val="008022AA"/>
    <w:rsid w:val="00802B1C"/>
    <w:rsid w:val="00802DAF"/>
    <w:rsid w:val="00802E53"/>
    <w:rsid w:val="00803814"/>
    <w:rsid w:val="00803AF8"/>
    <w:rsid w:val="00803EC0"/>
    <w:rsid w:val="00804BF7"/>
    <w:rsid w:val="00804D9F"/>
    <w:rsid w:val="008051F9"/>
    <w:rsid w:val="00805373"/>
    <w:rsid w:val="00805D5D"/>
    <w:rsid w:val="00805E25"/>
    <w:rsid w:val="0080613C"/>
    <w:rsid w:val="00806267"/>
    <w:rsid w:val="00806636"/>
    <w:rsid w:val="00807430"/>
    <w:rsid w:val="0080783B"/>
    <w:rsid w:val="00810937"/>
    <w:rsid w:val="00810B4D"/>
    <w:rsid w:val="0081104D"/>
    <w:rsid w:val="008115C4"/>
    <w:rsid w:val="0081195B"/>
    <w:rsid w:val="008122F4"/>
    <w:rsid w:val="00812514"/>
    <w:rsid w:val="00812BDE"/>
    <w:rsid w:val="00812C67"/>
    <w:rsid w:val="00813C48"/>
    <w:rsid w:val="00813E3F"/>
    <w:rsid w:val="00813F5C"/>
    <w:rsid w:val="00814258"/>
    <w:rsid w:val="00814543"/>
    <w:rsid w:val="00814642"/>
    <w:rsid w:val="00814831"/>
    <w:rsid w:val="00814D19"/>
    <w:rsid w:val="00815205"/>
    <w:rsid w:val="00815893"/>
    <w:rsid w:val="00815EC4"/>
    <w:rsid w:val="008173DD"/>
    <w:rsid w:val="00817B74"/>
    <w:rsid w:val="00817BF2"/>
    <w:rsid w:val="0082068E"/>
    <w:rsid w:val="00820F8D"/>
    <w:rsid w:val="0082117C"/>
    <w:rsid w:val="0082197B"/>
    <w:rsid w:val="00821D03"/>
    <w:rsid w:val="0082238E"/>
    <w:rsid w:val="00822D09"/>
    <w:rsid w:val="00822EBF"/>
    <w:rsid w:val="00823F8C"/>
    <w:rsid w:val="00824DE2"/>
    <w:rsid w:val="00825239"/>
    <w:rsid w:val="00825990"/>
    <w:rsid w:val="00825FE3"/>
    <w:rsid w:val="0082725A"/>
    <w:rsid w:val="00827665"/>
    <w:rsid w:val="008303D9"/>
    <w:rsid w:val="008307BB"/>
    <w:rsid w:val="00830DD6"/>
    <w:rsid w:val="00831470"/>
    <w:rsid w:val="0083200E"/>
    <w:rsid w:val="00832329"/>
    <w:rsid w:val="00833519"/>
    <w:rsid w:val="0083392D"/>
    <w:rsid w:val="00833E16"/>
    <w:rsid w:val="00834392"/>
    <w:rsid w:val="0083458C"/>
    <w:rsid w:val="00834B3D"/>
    <w:rsid w:val="008355F0"/>
    <w:rsid w:val="00835965"/>
    <w:rsid w:val="00835996"/>
    <w:rsid w:val="008359BF"/>
    <w:rsid w:val="00835AF1"/>
    <w:rsid w:val="00836A22"/>
    <w:rsid w:val="0083742F"/>
    <w:rsid w:val="008377D0"/>
    <w:rsid w:val="00837DFB"/>
    <w:rsid w:val="0084002B"/>
    <w:rsid w:val="008405CF"/>
    <w:rsid w:val="00840B5A"/>
    <w:rsid w:val="00841674"/>
    <w:rsid w:val="0084294E"/>
    <w:rsid w:val="008433F7"/>
    <w:rsid w:val="00843C83"/>
    <w:rsid w:val="0084407F"/>
    <w:rsid w:val="008440BF"/>
    <w:rsid w:val="0084411D"/>
    <w:rsid w:val="00844BF7"/>
    <w:rsid w:val="00844C32"/>
    <w:rsid w:val="00844D37"/>
    <w:rsid w:val="00844E16"/>
    <w:rsid w:val="00845CB7"/>
    <w:rsid w:val="00845E92"/>
    <w:rsid w:val="0084678C"/>
    <w:rsid w:val="00846F55"/>
    <w:rsid w:val="00847625"/>
    <w:rsid w:val="008476B5"/>
    <w:rsid w:val="00850240"/>
    <w:rsid w:val="008503AF"/>
    <w:rsid w:val="008507E9"/>
    <w:rsid w:val="008509B1"/>
    <w:rsid w:val="00851661"/>
    <w:rsid w:val="00851B55"/>
    <w:rsid w:val="00851DD4"/>
    <w:rsid w:val="00852E38"/>
    <w:rsid w:val="008533F9"/>
    <w:rsid w:val="00853480"/>
    <w:rsid w:val="0085538E"/>
    <w:rsid w:val="008553DA"/>
    <w:rsid w:val="00855656"/>
    <w:rsid w:val="00855B41"/>
    <w:rsid w:val="00855E0D"/>
    <w:rsid w:val="00855E11"/>
    <w:rsid w:val="00856BA3"/>
    <w:rsid w:val="00856FD4"/>
    <w:rsid w:val="008570B3"/>
    <w:rsid w:val="00860042"/>
    <w:rsid w:val="00860314"/>
    <w:rsid w:val="00861319"/>
    <w:rsid w:val="00861C0A"/>
    <w:rsid w:val="00861CF2"/>
    <w:rsid w:val="00861EAC"/>
    <w:rsid w:val="00861F33"/>
    <w:rsid w:val="00862081"/>
    <w:rsid w:val="008621C2"/>
    <w:rsid w:val="008621EF"/>
    <w:rsid w:val="00862457"/>
    <w:rsid w:val="00863092"/>
    <w:rsid w:val="00863439"/>
    <w:rsid w:val="00864616"/>
    <w:rsid w:val="00864760"/>
    <w:rsid w:val="00865151"/>
    <w:rsid w:val="0086585A"/>
    <w:rsid w:val="00865A42"/>
    <w:rsid w:val="008671E0"/>
    <w:rsid w:val="00867E1D"/>
    <w:rsid w:val="00870090"/>
    <w:rsid w:val="00870387"/>
    <w:rsid w:val="008718F1"/>
    <w:rsid w:val="00871A38"/>
    <w:rsid w:val="00871ABE"/>
    <w:rsid w:val="008723F5"/>
    <w:rsid w:val="008728DD"/>
    <w:rsid w:val="008728E0"/>
    <w:rsid w:val="0087351B"/>
    <w:rsid w:val="008735A6"/>
    <w:rsid w:val="008740DB"/>
    <w:rsid w:val="008746D0"/>
    <w:rsid w:val="00875D20"/>
    <w:rsid w:val="00875D68"/>
    <w:rsid w:val="0087610F"/>
    <w:rsid w:val="008761E2"/>
    <w:rsid w:val="00876632"/>
    <w:rsid w:val="00876D76"/>
    <w:rsid w:val="00877035"/>
    <w:rsid w:val="00877091"/>
    <w:rsid w:val="00877419"/>
    <w:rsid w:val="008779DE"/>
    <w:rsid w:val="008779EA"/>
    <w:rsid w:val="00880F04"/>
    <w:rsid w:val="0088182A"/>
    <w:rsid w:val="00881F15"/>
    <w:rsid w:val="00882010"/>
    <w:rsid w:val="00882837"/>
    <w:rsid w:val="00882BCB"/>
    <w:rsid w:val="00882EC0"/>
    <w:rsid w:val="00883441"/>
    <w:rsid w:val="008834F7"/>
    <w:rsid w:val="00883687"/>
    <w:rsid w:val="00883CF2"/>
    <w:rsid w:val="00883FD4"/>
    <w:rsid w:val="00884C5C"/>
    <w:rsid w:val="00884D46"/>
    <w:rsid w:val="008854C8"/>
    <w:rsid w:val="008857BC"/>
    <w:rsid w:val="00885F1F"/>
    <w:rsid w:val="00886DDD"/>
    <w:rsid w:val="00886E4A"/>
    <w:rsid w:val="00887477"/>
    <w:rsid w:val="00887648"/>
    <w:rsid w:val="00887B12"/>
    <w:rsid w:val="00887C23"/>
    <w:rsid w:val="00891192"/>
    <w:rsid w:val="00891970"/>
    <w:rsid w:val="00891F76"/>
    <w:rsid w:val="00892353"/>
    <w:rsid w:val="008924EF"/>
    <w:rsid w:val="0089298E"/>
    <w:rsid w:val="00894085"/>
    <w:rsid w:val="00894AE4"/>
    <w:rsid w:val="00895021"/>
    <w:rsid w:val="00895E45"/>
    <w:rsid w:val="00895F03"/>
    <w:rsid w:val="0089624C"/>
    <w:rsid w:val="00896D51"/>
    <w:rsid w:val="00896DD4"/>
    <w:rsid w:val="008977B2"/>
    <w:rsid w:val="0089780B"/>
    <w:rsid w:val="0089797F"/>
    <w:rsid w:val="00897E43"/>
    <w:rsid w:val="008A0952"/>
    <w:rsid w:val="008A0F68"/>
    <w:rsid w:val="008A0F8C"/>
    <w:rsid w:val="008A0F90"/>
    <w:rsid w:val="008A2194"/>
    <w:rsid w:val="008A2576"/>
    <w:rsid w:val="008A2956"/>
    <w:rsid w:val="008A35B0"/>
    <w:rsid w:val="008A36BA"/>
    <w:rsid w:val="008A48BA"/>
    <w:rsid w:val="008A507D"/>
    <w:rsid w:val="008A56A2"/>
    <w:rsid w:val="008A5ADA"/>
    <w:rsid w:val="008A6003"/>
    <w:rsid w:val="008A602A"/>
    <w:rsid w:val="008A609F"/>
    <w:rsid w:val="008A6A39"/>
    <w:rsid w:val="008A6BF2"/>
    <w:rsid w:val="008A74FC"/>
    <w:rsid w:val="008A7C25"/>
    <w:rsid w:val="008A7CFE"/>
    <w:rsid w:val="008A7D0F"/>
    <w:rsid w:val="008B0A0A"/>
    <w:rsid w:val="008B1028"/>
    <w:rsid w:val="008B10EE"/>
    <w:rsid w:val="008B181F"/>
    <w:rsid w:val="008B19D8"/>
    <w:rsid w:val="008B1B5F"/>
    <w:rsid w:val="008B1C7E"/>
    <w:rsid w:val="008B1E47"/>
    <w:rsid w:val="008B2B9A"/>
    <w:rsid w:val="008B2DFD"/>
    <w:rsid w:val="008B306C"/>
    <w:rsid w:val="008B3933"/>
    <w:rsid w:val="008B466B"/>
    <w:rsid w:val="008B4891"/>
    <w:rsid w:val="008B4CAC"/>
    <w:rsid w:val="008B4F86"/>
    <w:rsid w:val="008B548D"/>
    <w:rsid w:val="008B5895"/>
    <w:rsid w:val="008B59C6"/>
    <w:rsid w:val="008B5D21"/>
    <w:rsid w:val="008B5E55"/>
    <w:rsid w:val="008B7DD1"/>
    <w:rsid w:val="008B7E42"/>
    <w:rsid w:val="008C0225"/>
    <w:rsid w:val="008C0B84"/>
    <w:rsid w:val="008C1448"/>
    <w:rsid w:val="008C2335"/>
    <w:rsid w:val="008C3622"/>
    <w:rsid w:val="008C383B"/>
    <w:rsid w:val="008C397E"/>
    <w:rsid w:val="008C40BD"/>
    <w:rsid w:val="008C40F4"/>
    <w:rsid w:val="008C46E1"/>
    <w:rsid w:val="008C4A16"/>
    <w:rsid w:val="008C5F5F"/>
    <w:rsid w:val="008C679E"/>
    <w:rsid w:val="008C685C"/>
    <w:rsid w:val="008C6A9B"/>
    <w:rsid w:val="008C6C58"/>
    <w:rsid w:val="008C6E42"/>
    <w:rsid w:val="008C704A"/>
    <w:rsid w:val="008C723F"/>
    <w:rsid w:val="008C7345"/>
    <w:rsid w:val="008C736F"/>
    <w:rsid w:val="008C7595"/>
    <w:rsid w:val="008C7A6B"/>
    <w:rsid w:val="008D034C"/>
    <w:rsid w:val="008D1A39"/>
    <w:rsid w:val="008D1A7C"/>
    <w:rsid w:val="008D2547"/>
    <w:rsid w:val="008D2684"/>
    <w:rsid w:val="008D26B8"/>
    <w:rsid w:val="008D273C"/>
    <w:rsid w:val="008D3C66"/>
    <w:rsid w:val="008D4746"/>
    <w:rsid w:val="008D4C92"/>
    <w:rsid w:val="008D5398"/>
    <w:rsid w:val="008D585B"/>
    <w:rsid w:val="008D6131"/>
    <w:rsid w:val="008D6181"/>
    <w:rsid w:val="008D62ED"/>
    <w:rsid w:val="008D6A94"/>
    <w:rsid w:val="008D7359"/>
    <w:rsid w:val="008D7966"/>
    <w:rsid w:val="008D7CE5"/>
    <w:rsid w:val="008D7EFF"/>
    <w:rsid w:val="008E0667"/>
    <w:rsid w:val="008E0EC5"/>
    <w:rsid w:val="008E14F5"/>
    <w:rsid w:val="008E160A"/>
    <w:rsid w:val="008E1A9C"/>
    <w:rsid w:val="008E1DF5"/>
    <w:rsid w:val="008E271D"/>
    <w:rsid w:val="008E329B"/>
    <w:rsid w:val="008E3EFF"/>
    <w:rsid w:val="008E3FBD"/>
    <w:rsid w:val="008E4716"/>
    <w:rsid w:val="008E4C94"/>
    <w:rsid w:val="008E4F53"/>
    <w:rsid w:val="008E5299"/>
    <w:rsid w:val="008E5793"/>
    <w:rsid w:val="008E5E1A"/>
    <w:rsid w:val="008E5F4E"/>
    <w:rsid w:val="008E628D"/>
    <w:rsid w:val="008E71E2"/>
    <w:rsid w:val="008E7392"/>
    <w:rsid w:val="008E77D7"/>
    <w:rsid w:val="008E7DED"/>
    <w:rsid w:val="008E7FB4"/>
    <w:rsid w:val="008F001B"/>
    <w:rsid w:val="008F0D12"/>
    <w:rsid w:val="008F18B1"/>
    <w:rsid w:val="008F1A62"/>
    <w:rsid w:val="008F1ED1"/>
    <w:rsid w:val="008F2074"/>
    <w:rsid w:val="008F2DDE"/>
    <w:rsid w:val="008F2E89"/>
    <w:rsid w:val="008F30B6"/>
    <w:rsid w:val="008F3610"/>
    <w:rsid w:val="008F44BA"/>
    <w:rsid w:val="008F4AD7"/>
    <w:rsid w:val="008F4EE6"/>
    <w:rsid w:val="008F50A8"/>
    <w:rsid w:val="008F52D1"/>
    <w:rsid w:val="008F54AE"/>
    <w:rsid w:val="008F5637"/>
    <w:rsid w:val="008F57B1"/>
    <w:rsid w:val="008F6538"/>
    <w:rsid w:val="008F734D"/>
    <w:rsid w:val="008F74B1"/>
    <w:rsid w:val="008F79BB"/>
    <w:rsid w:val="008F7E22"/>
    <w:rsid w:val="0090097D"/>
    <w:rsid w:val="00900EC1"/>
    <w:rsid w:val="00901C8E"/>
    <w:rsid w:val="00901D85"/>
    <w:rsid w:val="0090358B"/>
    <w:rsid w:val="00903D6C"/>
    <w:rsid w:val="00904A06"/>
    <w:rsid w:val="0090600A"/>
    <w:rsid w:val="009061AE"/>
    <w:rsid w:val="00906986"/>
    <w:rsid w:val="00906C18"/>
    <w:rsid w:val="00906CE2"/>
    <w:rsid w:val="00907062"/>
    <w:rsid w:val="00907372"/>
    <w:rsid w:val="00907B71"/>
    <w:rsid w:val="00911981"/>
    <w:rsid w:val="00911A04"/>
    <w:rsid w:val="00912416"/>
    <w:rsid w:val="00912773"/>
    <w:rsid w:val="00912AD9"/>
    <w:rsid w:val="009134E7"/>
    <w:rsid w:val="00913585"/>
    <w:rsid w:val="00913646"/>
    <w:rsid w:val="00914249"/>
    <w:rsid w:val="009144F3"/>
    <w:rsid w:val="009147DA"/>
    <w:rsid w:val="0091485B"/>
    <w:rsid w:val="009158E5"/>
    <w:rsid w:val="009162D5"/>
    <w:rsid w:val="0091649C"/>
    <w:rsid w:val="009166E0"/>
    <w:rsid w:val="009168B8"/>
    <w:rsid w:val="009176AA"/>
    <w:rsid w:val="0091795D"/>
    <w:rsid w:val="0092015C"/>
    <w:rsid w:val="009206F5"/>
    <w:rsid w:val="00920AAF"/>
    <w:rsid w:val="00920ADA"/>
    <w:rsid w:val="00920F4A"/>
    <w:rsid w:val="009211DE"/>
    <w:rsid w:val="0092149E"/>
    <w:rsid w:val="009214E2"/>
    <w:rsid w:val="00922098"/>
    <w:rsid w:val="00922669"/>
    <w:rsid w:val="00923BB2"/>
    <w:rsid w:val="00924880"/>
    <w:rsid w:val="0092519F"/>
    <w:rsid w:val="00925272"/>
    <w:rsid w:val="00925977"/>
    <w:rsid w:val="009259B2"/>
    <w:rsid w:val="00925FC1"/>
    <w:rsid w:val="009264C6"/>
    <w:rsid w:val="00926ADD"/>
    <w:rsid w:val="009271E9"/>
    <w:rsid w:val="009271F4"/>
    <w:rsid w:val="00927568"/>
    <w:rsid w:val="00927933"/>
    <w:rsid w:val="00930B46"/>
    <w:rsid w:val="00931DAB"/>
    <w:rsid w:val="00934A21"/>
    <w:rsid w:val="00934A27"/>
    <w:rsid w:val="0093575C"/>
    <w:rsid w:val="00935A60"/>
    <w:rsid w:val="009367AE"/>
    <w:rsid w:val="00937AB9"/>
    <w:rsid w:val="00940AA6"/>
    <w:rsid w:val="00940FA8"/>
    <w:rsid w:val="00941154"/>
    <w:rsid w:val="00941EB4"/>
    <w:rsid w:val="00942222"/>
    <w:rsid w:val="0094281D"/>
    <w:rsid w:val="00942919"/>
    <w:rsid w:val="00942AC5"/>
    <w:rsid w:val="00942CF5"/>
    <w:rsid w:val="009435E1"/>
    <w:rsid w:val="0094420F"/>
    <w:rsid w:val="009447AB"/>
    <w:rsid w:val="00944B24"/>
    <w:rsid w:val="00944DBE"/>
    <w:rsid w:val="0094671F"/>
    <w:rsid w:val="00946F11"/>
    <w:rsid w:val="0094727A"/>
    <w:rsid w:val="009476E8"/>
    <w:rsid w:val="00950B3B"/>
    <w:rsid w:val="00951262"/>
    <w:rsid w:val="00951721"/>
    <w:rsid w:val="00951FC0"/>
    <w:rsid w:val="00951FC6"/>
    <w:rsid w:val="00952179"/>
    <w:rsid w:val="009521A6"/>
    <w:rsid w:val="009528DC"/>
    <w:rsid w:val="009532AD"/>
    <w:rsid w:val="009532BC"/>
    <w:rsid w:val="00953571"/>
    <w:rsid w:val="00953E4C"/>
    <w:rsid w:val="00954449"/>
    <w:rsid w:val="00955138"/>
    <w:rsid w:val="00955B8C"/>
    <w:rsid w:val="0095619F"/>
    <w:rsid w:val="00956D30"/>
    <w:rsid w:val="00956E88"/>
    <w:rsid w:val="00956F0F"/>
    <w:rsid w:val="0095736E"/>
    <w:rsid w:val="009573C8"/>
    <w:rsid w:val="009574B3"/>
    <w:rsid w:val="009576A9"/>
    <w:rsid w:val="00957AD5"/>
    <w:rsid w:val="00957CBE"/>
    <w:rsid w:val="00957E4E"/>
    <w:rsid w:val="00957F1B"/>
    <w:rsid w:val="009601A5"/>
    <w:rsid w:val="009601C6"/>
    <w:rsid w:val="009601E9"/>
    <w:rsid w:val="0096039D"/>
    <w:rsid w:val="00960695"/>
    <w:rsid w:val="00961068"/>
    <w:rsid w:val="00961B84"/>
    <w:rsid w:val="0096268A"/>
    <w:rsid w:val="00962862"/>
    <w:rsid w:val="009630E8"/>
    <w:rsid w:val="00963489"/>
    <w:rsid w:val="009637FB"/>
    <w:rsid w:val="009644F7"/>
    <w:rsid w:val="00965A18"/>
    <w:rsid w:val="0096634D"/>
    <w:rsid w:val="009666ED"/>
    <w:rsid w:val="009672F9"/>
    <w:rsid w:val="0096746C"/>
    <w:rsid w:val="0096796D"/>
    <w:rsid w:val="009703D0"/>
    <w:rsid w:val="0097058D"/>
    <w:rsid w:val="00970590"/>
    <w:rsid w:val="00970683"/>
    <w:rsid w:val="00970748"/>
    <w:rsid w:val="0097169F"/>
    <w:rsid w:val="00971748"/>
    <w:rsid w:val="00971919"/>
    <w:rsid w:val="0097286C"/>
    <w:rsid w:val="00972ACA"/>
    <w:rsid w:val="00973B16"/>
    <w:rsid w:val="00973BFD"/>
    <w:rsid w:val="00974464"/>
    <w:rsid w:val="009754CD"/>
    <w:rsid w:val="00975A3F"/>
    <w:rsid w:val="00975A6C"/>
    <w:rsid w:val="00975C45"/>
    <w:rsid w:val="009769AB"/>
    <w:rsid w:val="00976E04"/>
    <w:rsid w:val="00976F63"/>
    <w:rsid w:val="009770C0"/>
    <w:rsid w:val="009771E6"/>
    <w:rsid w:val="00977604"/>
    <w:rsid w:val="009807FA"/>
    <w:rsid w:val="009809EE"/>
    <w:rsid w:val="00981099"/>
    <w:rsid w:val="009818F1"/>
    <w:rsid w:val="00982766"/>
    <w:rsid w:val="009834A1"/>
    <w:rsid w:val="00983664"/>
    <w:rsid w:val="0098378C"/>
    <w:rsid w:val="00983D7D"/>
    <w:rsid w:val="009840F6"/>
    <w:rsid w:val="0098426C"/>
    <w:rsid w:val="00984371"/>
    <w:rsid w:val="00985378"/>
    <w:rsid w:val="00986243"/>
    <w:rsid w:val="00986E4E"/>
    <w:rsid w:val="00987001"/>
    <w:rsid w:val="00987997"/>
    <w:rsid w:val="00990482"/>
    <w:rsid w:val="00990C83"/>
    <w:rsid w:val="00991872"/>
    <w:rsid w:val="00992888"/>
    <w:rsid w:val="0099289F"/>
    <w:rsid w:val="00992DD9"/>
    <w:rsid w:val="00992E2E"/>
    <w:rsid w:val="00993A1A"/>
    <w:rsid w:val="00993F78"/>
    <w:rsid w:val="00994566"/>
    <w:rsid w:val="00994683"/>
    <w:rsid w:val="009948DE"/>
    <w:rsid w:val="009950F5"/>
    <w:rsid w:val="009953DC"/>
    <w:rsid w:val="00995AF7"/>
    <w:rsid w:val="009962A3"/>
    <w:rsid w:val="009962F1"/>
    <w:rsid w:val="00996B76"/>
    <w:rsid w:val="00997578"/>
    <w:rsid w:val="009976D2"/>
    <w:rsid w:val="00997EE3"/>
    <w:rsid w:val="009A05EF"/>
    <w:rsid w:val="009A0C7A"/>
    <w:rsid w:val="009A0F3F"/>
    <w:rsid w:val="009A0F98"/>
    <w:rsid w:val="009A0FAD"/>
    <w:rsid w:val="009A0FC2"/>
    <w:rsid w:val="009A115D"/>
    <w:rsid w:val="009A1178"/>
    <w:rsid w:val="009A2223"/>
    <w:rsid w:val="009A2373"/>
    <w:rsid w:val="009A27D4"/>
    <w:rsid w:val="009A3010"/>
    <w:rsid w:val="009A37D8"/>
    <w:rsid w:val="009A49B1"/>
    <w:rsid w:val="009A55E4"/>
    <w:rsid w:val="009A55E7"/>
    <w:rsid w:val="009A5D95"/>
    <w:rsid w:val="009A6001"/>
    <w:rsid w:val="009A67BA"/>
    <w:rsid w:val="009A6822"/>
    <w:rsid w:val="009A68FC"/>
    <w:rsid w:val="009A6B20"/>
    <w:rsid w:val="009A6D5A"/>
    <w:rsid w:val="009A6EE8"/>
    <w:rsid w:val="009A7C7B"/>
    <w:rsid w:val="009B00D9"/>
    <w:rsid w:val="009B0FA2"/>
    <w:rsid w:val="009B1DA3"/>
    <w:rsid w:val="009B37A4"/>
    <w:rsid w:val="009B3AED"/>
    <w:rsid w:val="009B3C68"/>
    <w:rsid w:val="009B4391"/>
    <w:rsid w:val="009B44C2"/>
    <w:rsid w:val="009B4714"/>
    <w:rsid w:val="009B4BA5"/>
    <w:rsid w:val="009B55B1"/>
    <w:rsid w:val="009B60FB"/>
    <w:rsid w:val="009B63BE"/>
    <w:rsid w:val="009B6525"/>
    <w:rsid w:val="009B6CB4"/>
    <w:rsid w:val="009B7431"/>
    <w:rsid w:val="009C0132"/>
    <w:rsid w:val="009C1D6D"/>
    <w:rsid w:val="009C20E9"/>
    <w:rsid w:val="009C2765"/>
    <w:rsid w:val="009C2846"/>
    <w:rsid w:val="009C2D23"/>
    <w:rsid w:val="009C2E59"/>
    <w:rsid w:val="009C339B"/>
    <w:rsid w:val="009C36A0"/>
    <w:rsid w:val="009C3B9A"/>
    <w:rsid w:val="009C473F"/>
    <w:rsid w:val="009C4995"/>
    <w:rsid w:val="009C5047"/>
    <w:rsid w:val="009C52E9"/>
    <w:rsid w:val="009C5895"/>
    <w:rsid w:val="009C5C34"/>
    <w:rsid w:val="009C646E"/>
    <w:rsid w:val="009C717B"/>
    <w:rsid w:val="009C73F1"/>
    <w:rsid w:val="009C75D6"/>
    <w:rsid w:val="009C7805"/>
    <w:rsid w:val="009C7960"/>
    <w:rsid w:val="009C7AF2"/>
    <w:rsid w:val="009D0059"/>
    <w:rsid w:val="009D00B5"/>
    <w:rsid w:val="009D0B54"/>
    <w:rsid w:val="009D0CB1"/>
    <w:rsid w:val="009D0CCA"/>
    <w:rsid w:val="009D1150"/>
    <w:rsid w:val="009D1255"/>
    <w:rsid w:val="009D22D3"/>
    <w:rsid w:val="009D2E02"/>
    <w:rsid w:val="009D2E43"/>
    <w:rsid w:val="009D33E0"/>
    <w:rsid w:val="009D351B"/>
    <w:rsid w:val="009D3A2D"/>
    <w:rsid w:val="009D3F38"/>
    <w:rsid w:val="009D400F"/>
    <w:rsid w:val="009D413D"/>
    <w:rsid w:val="009D4374"/>
    <w:rsid w:val="009D4E94"/>
    <w:rsid w:val="009D4F84"/>
    <w:rsid w:val="009D5313"/>
    <w:rsid w:val="009D54F1"/>
    <w:rsid w:val="009D57D4"/>
    <w:rsid w:val="009D59C0"/>
    <w:rsid w:val="009D5F70"/>
    <w:rsid w:val="009D65F8"/>
    <w:rsid w:val="009D662F"/>
    <w:rsid w:val="009D6F61"/>
    <w:rsid w:val="009D6FD4"/>
    <w:rsid w:val="009E08A0"/>
    <w:rsid w:val="009E0CE9"/>
    <w:rsid w:val="009E13DD"/>
    <w:rsid w:val="009E1A78"/>
    <w:rsid w:val="009E1AAC"/>
    <w:rsid w:val="009E1E46"/>
    <w:rsid w:val="009E31A8"/>
    <w:rsid w:val="009E4289"/>
    <w:rsid w:val="009E4E19"/>
    <w:rsid w:val="009E4F24"/>
    <w:rsid w:val="009E510F"/>
    <w:rsid w:val="009E5704"/>
    <w:rsid w:val="009E57D0"/>
    <w:rsid w:val="009E5C5E"/>
    <w:rsid w:val="009E5E52"/>
    <w:rsid w:val="009E6817"/>
    <w:rsid w:val="009E6D79"/>
    <w:rsid w:val="009E711D"/>
    <w:rsid w:val="009E7179"/>
    <w:rsid w:val="009E7565"/>
    <w:rsid w:val="009E7C49"/>
    <w:rsid w:val="009E7F70"/>
    <w:rsid w:val="009F01BF"/>
    <w:rsid w:val="009F0339"/>
    <w:rsid w:val="009F0B02"/>
    <w:rsid w:val="009F0CB0"/>
    <w:rsid w:val="009F125B"/>
    <w:rsid w:val="009F2D12"/>
    <w:rsid w:val="009F3E2A"/>
    <w:rsid w:val="009F475B"/>
    <w:rsid w:val="009F49CF"/>
    <w:rsid w:val="009F552E"/>
    <w:rsid w:val="009F5C78"/>
    <w:rsid w:val="009F5F76"/>
    <w:rsid w:val="009F6C4D"/>
    <w:rsid w:val="009F6CDB"/>
    <w:rsid w:val="009F6EE1"/>
    <w:rsid w:val="009F7294"/>
    <w:rsid w:val="009F738C"/>
    <w:rsid w:val="009F7594"/>
    <w:rsid w:val="00A00101"/>
    <w:rsid w:val="00A0101B"/>
    <w:rsid w:val="00A012BE"/>
    <w:rsid w:val="00A01430"/>
    <w:rsid w:val="00A016AD"/>
    <w:rsid w:val="00A01BD3"/>
    <w:rsid w:val="00A037BD"/>
    <w:rsid w:val="00A03AF0"/>
    <w:rsid w:val="00A043F9"/>
    <w:rsid w:val="00A050C4"/>
    <w:rsid w:val="00A05BDB"/>
    <w:rsid w:val="00A06110"/>
    <w:rsid w:val="00A06139"/>
    <w:rsid w:val="00A061F5"/>
    <w:rsid w:val="00A0631C"/>
    <w:rsid w:val="00A0690A"/>
    <w:rsid w:val="00A07516"/>
    <w:rsid w:val="00A07BAB"/>
    <w:rsid w:val="00A07D48"/>
    <w:rsid w:val="00A10145"/>
    <w:rsid w:val="00A10612"/>
    <w:rsid w:val="00A108BA"/>
    <w:rsid w:val="00A10E55"/>
    <w:rsid w:val="00A11A01"/>
    <w:rsid w:val="00A11E11"/>
    <w:rsid w:val="00A11F66"/>
    <w:rsid w:val="00A12063"/>
    <w:rsid w:val="00A12808"/>
    <w:rsid w:val="00A12894"/>
    <w:rsid w:val="00A13674"/>
    <w:rsid w:val="00A138E3"/>
    <w:rsid w:val="00A1390C"/>
    <w:rsid w:val="00A13A00"/>
    <w:rsid w:val="00A14AFD"/>
    <w:rsid w:val="00A14D84"/>
    <w:rsid w:val="00A14F37"/>
    <w:rsid w:val="00A14FA6"/>
    <w:rsid w:val="00A1549C"/>
    <w:rsid w:val="00A15785"/>
    <w:rsid w:val="00A163B5"/>
    <w:rsid w:val="00A16450"/>
    <w:rsid w:val="00A16546"/>
    <w:rsid w:val="00A1663F"/>
    <w:rsid w:val="00A16717"/>
    <w:rsid w:val="00A17350"/>
    <w:rsid w:val="00A17704"/>
    <w:rsid w:val="00A20100"/>
    <w:rsid w:val="00A20730"/>
    <w:rsid w:val="00A20C51"/>
    <w:rsid w:val="00A20F6C"/>
    <w:rsid w:val="00A2168B"/>
    <w:rsid w:val="00A22BBA"/>
    <w:rsid w:val="00A2369F"/>
    <w:rsid w:val="00A238E4"/>
    <w:rsid w:val="00A2392C"/>
    <w:rsid w:val="00A23AFA"/>
    <w:rsid w:val="00A2404F"/>
    <w:rsid w:val="00A24915"/>
    <w:rsid w:val="00A2501C"/>
    <w:rsid w:val="00A25066"/>
    <w:rsid w:val="00A25097"/>
    <w:rsid w:val="00A25120"/>
    <w:rsid w:val="00A25AFE"/>
    <w:rsid w:val="00A25ECA"/>
    <w:rsid w:val="00A26239"/>
    <w:rsid w:val="00A26413"/>
    <w:rsid w:val="00A26610"/>
    <w:rsid w:val="00A27025"/>
    <w:rsid w:val="00A27AD7"/>
    <w:rsid w:val="00A27F65"/>
    <w:rsid w:val="00A303AF"/>
    <w:rsid w:val="00A30485"/>
    <w:rsid w:val="00A30AE7"/>
    <w:rsid w:val="00A30E10"/>
    <w:rsid w:val="00A313CC"/>
    <w:rsid w:val="00A317BA"/>
    <w:rsid w:val="00A319F7"/>
    <w:rsid w:val="00A31A7A"/>
    <w:rsid w:val="00A31B59"/>
    <w:rsid w:val="00A31F84"/>
    <w:rsid w:val="00A3218C"/>
    <w:rsid w:val="00A331E7"/>
    <w:rsid w:val="00A33B0D"/>
    <w:rsid w:val="00A3473B"/>
    <w:rsid w:val="00A3485F"/>
    <w:rsid w:val="00A35836"/>
    <w:rsid w:val="00A35F9B"/>
    <w:rsid w:val="00A37653"/>
    <w:rsid w:val="00A37966"/>
    <w:rsid w:val="00A40273"/>
    <w:rsid w:val="00A40337"/>
    <w:rsid w:val="00A409AA"/>
    <w:rsid w:val="00A414A4"/>
    <w:rsid w:val="00A416F1"/>
    <w:rsid w:val="00A4217B"/>
    <w:rsid w:val="00A43961"/>
    <w:rsid w:val="00A43B9F"/>
    <w:rsid w:val="00A43E00"/>
    <w:rsid w:val="00A4465D"/>
    <w:rsid w:val="00A44C8B"/>
    <w:rsid w:val="00A44F4E"/>
    <w:rsid w:val="00A4508F"/>
    <w:rsid w:val="00A454D5"/>
    <w:rsid w:val="00A45788"/>
    <w:rsid w:val="00A457AB"/>
    <w:rsid w:val="00A4593B"/>
    <w:rsid w:val="00A45948"/>
    <w:rsid w:val="00A45FD4"/>
    <w:rsid w:val="00A4707F"/>
    <w:rsid w:val="00A478CF"/>
    <w:rsid w:val="00A51157"/>
    <w:rsid w:val="00A511D5"/>
    <w:rsid w:val="00A517FA"/>
    <w:rsid w:val="00A51930"/>
    <w:rsid w:val="00A51D19"/>
    <w:rsid w:val="00A529EC"/>
    <w:rsid w:val="00A52E4A"/>
    <w:rsid w:val="00A53577"/>
    <w:rsid w:val="00A53D55"/>
    <w:rsid w:val="00A54C6A"/>
    <w:rsid w:val="00A5579D"/>
    <w:rsid w:val="00A55A67"/>
    <w:rsid w:val="00A55EF9"/>
    <w:rsid w:val="00A56AAF"/>
    <w:rsid w:val="00A56BC4"/>
    <w:rsid w:val="00A5702C"/>
    <w:rsid w:val="00A5703D"/>
    <w:rsid w:val="00A5754C"/>
    <w:rsid w:val="00A57A58"/>
    <w:rsid w:val="00A600CE"/>
    <w:rsid w:val="00A60DD8"/>
    <w:rsid w:val="00A610CB"/>
    <w:rsid w:val="00A613C2"/>
    <w:rsid w:val="00A61BAD"/>
    <w:rsid w:val="00A61CB2"/>
    <w:rsid w:val="00A6221F"/>
    <w:rsid w:val="00A62674"/>
    <w:rsid w:val="00A629BE"/>
    <w:rsid w:val="00A637DD"/>
    <w:rsid w:val="00A63BDC"/>
    <w:rsid w:val="00A64109"/>
    <w:rsid w:val="00A646D7"/>
    <w:rsid w:val="00A649D6"/>
    <w:rsid w:val="00A666A5"/>
    <w:rsid w:val="00A66E13"/>
    <w:rsid w:val="00A67B08"/>
    <w:rsid w:val="00A67F89"/>
    <w:rsid w:val="00A70736"/>
    <w:rsid w:val="00A70C3A"/>
    <w:rsid w:val="00A70CD0"/>
    <w:rsid w:val="00A7137F"/>
    <w:rsid w:val="00A716D7"/>
    <w:rsid w:val="00A7177F"/>
    <w:rsid w:val="00A72556"/>
    <w:rsid w:val="00A729E9"/>
    <w:rsid w:val="00A72E51"/>
    <w:rsid w:val="00A72F8F"/>
    <w:rsid w:val="00A73173"/>
    <w:rsid w:val="00A7398E"/>
    <w:rsid w:val="00A73ED1"/>
    <w:rsid w:val="00A740EF"/>
    <w:rsid w:val="00A74302"/>
    <w:rsid w:val="00A7493F"/>
    <w:rsid w:val="00A74B27"/>
    <w:rsid w:val="00A756BB"/>
    <w:rsid w:val="00A75965"/>
    <w:rsid w:val="00A75EB0"/>
    <w:rsid w:val="00A75FDD"/>
    <w:rsid w:val="00A76018"/>
    <w:rsid w:val="00A80FD7"/>
    <w:rsid w:val="00A8181D"/>
    <w:rsid w:val="00A81881"/>
    <w:rsid w:val="00A81E9C"/>
    <w:rsid w:val="00A82341"/>
    <w:rsid w:val="00A8333D"/>
    <w:rsid w:val="00A8338F"/>
    <w:rsid w:val="00A843D3"/>
    <w:rsid w:val="00A84AD5"/>
    <w:rsid w:val="00A85394"/>
    <w:rsid w:val="00A85656"/>
    <w:rsid w:val="00A86210"/>
    <w:rsid w:val="00A867DE"/>
    <w:rsid w:val="00A8718E"/>
    <w:rsid w:val="00A872C8"/>
    <w:rsid w:val="00A8759C"/>
    <w:rsid w:val="00A879B9"/>
    <w:rsid w:val="00A87AD5"/>
    <w:rsid w:val="00A87D36"/>
    <w:rsid w:val="00A90876"/>
    <w:rsid w:val="00A90B85"/>
    <w:rsid w:val="00A90B96"/>
    <w:rsid w:val="00A90F66"/>
    <w:rsid w:val="00A9125E"/>
    <w:rsid w:val="00A913E6"/>
    <w:rsid w:val="00A91AF2"/>
    <w:rsid w:val="00A91FD0"/>
    <w:rsid w:val="00A9205C"/>
    <w:rsid w:val="00A92FA7"/>
    <w:rsid w:val="00A931B2"/>
    <w:rsid w:val="00A93259"/>
    <w:rsid w:val="00A9360F"/>
    <w:rsid w:val="00A93A24"/>
    <w:rsid w:val="00A9410F"/>
    <w:rsid w:val="00A94799"/>
    <w:rsid w:val="00A949D7"/>
    <w:rsid w:val="00A949DB"/>
    <w:rsid w:val="00A94CB4"/>
    <w:rsid w:val="00A94F08"/>
    <w:rsid w:val="00A95AA7"/>
    <w:rsid w:val="00A95D2D"/>
    <w:rsid w:val="00A95FFB"/>
    <w:rsid w:val="00A96C5E"/>
    <w:rsid w:val="00A97613"/>
    <w:rsid w:val="00A978F7"/>
    <w:rsid w:val="00AA004D"/>
    <w:rsid w:val="00AA027F"/>
    <w:rsid w:val="00AA09DF"/>
    <w:rsid w:val="00AA1671"/>
    <w:rsid w:val="00AA200A"/>
    <w:rsid w:val="00AA2584"/>
    <w:rsid w:val="00AA30C1"/>
    <w:rsid w:val="00AA32F9"/>
    <w:rsid w:val="00AA33DF"/>
    <w:rsid w:val="00AA398B"/>
    <w:rsid w:val="00AA49D1"/>
    <w:rsid w:val="00AA4BD1"/>
    <w:rsid w:val="00AA4E82"/>
    <w:rsid w:val="00AA65CD"/>
    <w:rsid w:val="00AA65D4"/>
    <w:rsid w:val="00AA6911"/>
    <w:rsid w:val="00AA69A9"/>
    <w:rsid w:val="00AB06AA"/>
    <w:rsid w:val="00AB0AF5"/>
    <w:rsid w:val="00AB1D5B"/>
    <w:rsid w:val="00AB254F"/>
    <w:rsid w:val="00AB2A58"/>
    <w:rsid w:val="00AB2E64"/>
    <w:rsid w:val="00AB394C"/>
    <w:rsid w:val="00AB39EC"/>
    <w:rsid w:val="00AB3F31"/>
    <w:rsid w:val="00AB4355"/>
    <w:rsid w:val="00AB46C4"/>
    <w:rsid w:val="00AB4B5C"/>
    <w:rsid w:val="00AB540A"/>
    <w:rsid w:val="00AB5535"/>
    <w:rsid w:val="00AB5738"/>
    <w:rsid w:val="00AB65F6"/>
    <w:rsid w:val="00AB66DD"/>
    <w:rsid w:val="00AB6C55"/>
    <w:rsid w:val="00AB6DCB"/>
    <w:rsid w:val="00AB70F3"/>
    <w:rsid w:val="00AB724C"/>
    <w:rsid w:val="00AB7685"/>
    <w:rsid w:val="00AB7CBA"/>
    <w:rsid w:val="00AC05AC"/>
    <w:rsid w:val="00AC0763"/>
    <w:rsid w:val="00AC091D"/>
    <w:rsid w:val="00AC1492"/>
    <w:rsid w:val="00AC2203"/>
    <w:rsid w:val="00AC2585"/>
    <w:rsid w:val="00AC2DA7"/>
    <w:rsid w:val="00AC3555"/>
    <w:rsid w:val="00AC4326"/>
    <w:rsid w:val="00AC44C1"/>
    <w:rsid w:val="00AC4C38"/>
    <w:rsid w:val="00AC4F2F"/>
    <w:rsid w:val="00AC5D56"/>
    <w:rsid w:val="00AC5E68"/>
    <w:rsid w:val="00AC762C"/>
    <w:rsid w:val="00AC76A5"/>
    <w:rsid w:val="00AD0DC1"/>
    <w:rsid w:val="00AD0EA4"/>
    <w:rsid w:val="00AD13C7"/>
    <w:rsid w:val="00AD176C"/>
    <w:rsid w:val="00AD1F46"/>
    <w:rsid w:val="00AD288D"/>
    <w:rsid w:val="00AD310B"/>
    <w:rsid w:val="00AD326E"/>
    <w:rsid w:val="00AD33DD"/>
    <w:rsid w:val="00AD394A"/>
    <w:rsid w:val="00AD3A30"/>
    <w:rsid w:val="00AD3B53"/>
    <w:rsid w:val="00AD3E51"/>
    <w:rsid w:val="00AD4480"/>
    <w:rsid w:val="00AD45BA"/>
    <w:rsid w:val="00AD5215"/>
    <w:rsid w:val="00AD5421"/>
    <w:rsid w:val="00AD56A4"/>
    <w:rsid w:val="00AD5817"/>
    <w:rsid w:val="00AD6391"/>
    <w:rsid w:val="00AD667B"/>
    <w:rsid w:val="00AE02F3"/>
    <w:rsid w:val="00AE0AC8"/>
    <w:rsid w:val="00AE0CD6"/>
    <w:rsid w:val="00AE16B5"/>
    <w:rsid w:val="00AE1D27"/>
    <w:rsid w:val="00AE293E"/>
    <w:rsid w:val="00AE3000"/>
    <w:rsid w:val="00AE3224"/>
    <w:rsid w:val="00AE372B"/>
    <w:rsid w:val="00AE3E69"/>
    <w:rsid w:val="00AE4D22"/>
    <w:rsid w:val="00AE521B"/>
    <w:rsid w:val="00AE588D"/>
    <w:rsid w:val="00AE71A5"/>
    <w:rsid w:val="00AE75A4"/>
    <w:rsid w:val="00AF0D46"/>
    <w:rsid w:val="00AF2207"/>
    <w:rsid w:val="00AF29D4"/>
    <w:rsid w:val="00AF2B1F"/>
    <w:rsid w:val="00AF32B7"/>
    <w:rsid w:val="00AF32FF"/>
    <w:rsid w:val="00AF39E2"/>
    <w:rsid w:val="00AF3B48"/>
    <w:rsid w:val="00AF3B71"/>
    <w:rsid w:val="00AF4660"/>
    <w:rsid w:val="00AF61DB"/>
    <w:rsid w:val="00AF64AD"/>
    <w:rsid w:val="00AF6E64"/>
    <w:rsid w:val="00AF7A77"/>
    <w:rsid w:val="00AF7F60"/>
    <w:rsid w:val="00B014D5"/>
    <w:rsid w:val="00B01731"/>
    <w:rsid w:val="00B02680"/>
    <w:rsid w:val="00B033F6"/>
    <w:rsid w:val="00B0340B"/>
    <w:rsid w:val="00B03783"/>
    <w:rsid w:val="00B04375"/>
    <w:rsid w:val="00B05271"/>
    <w:rsid w:val="00B05925"/>
    <w:rsid w:val="00B05C4F"/>
    <w:rsid w:val="00B0625C"/>
    <w:rsid w:val="00B065E7"/>
    <w:rsid w:val="00B06916"/>
    <w:rsid w:val="00B072E4"/>
    <w:rsid w:val="00B07511"/>
    <w:rsid w:val="00B07C1F"/>
    <w:rsid w:val="00B102C4"/>
    <w:rsid w:val="00B108EA"/>
    <w:rsid w:val="00B116EE"/>
    <w:rsid w:val="00B11B68"/>
    <w:rsid w:val="00B11EB4"/>
    <w:rsid w:val="00B12067"/>
    <w:rsid w:val="00B1223A"/>
    <w:rsid w:val="00B12A54"/>
    <w:rsid w:val="00B12B10"/>
    <w:rsid w:val="00B12F0F"/>
    <w:rsid w:val="00B132C9"/>
    <w:rsid w:val="00B13F04"/>
    <w:rsid w:val="00B147BB"/>
    <w:rsid w:val="00B14BB8"/>
    <w:rsid w:val="00B160ED"/>
    <w:rsid w:val="00B1714F"/>
    <w:rsid w:val="00B1755B"/>
    <w:rsid w:val="00B17CC9"/>
    <w:rsid w:val="00B2070C"/>
    <w:rsid w:val="00B2124B"/>
    <w:rsid w:val="00B22A7F"/>
    <w:rsid w:val="00B22A96"/>
    <w:rsid w:val="00B23070"/>
    <w:rsid w:val="00B237B6"/>
    <w:rsid w:val="00B23A4C"/>
    <w:rsid w:val="00B25477"/>
    <w:rsid w:val="00B25692"/>
    <w:rsid w:val="00B25B05"/>
    <w:rsid w:val="00B25D31"/>
    <w:rsid w:val="00B260B0"/>
    <w:rsid w:val="00B26B9E"/>
    <w:rsid w:val="00B26E64"/>
    <w:rsid w:val="00B26FCB"/>
    <w:rsid w:val="00B274FB"/>
    <w:rsid w:val="00B30277"/>
    <w:rsid w:val="00B30D10"/>
    <w:rsid w:val="00B31319"/>
    <w:rsid w:val="00B31490"/>
    <w:rsid w:val="00B31564"/>
    <w:rsid w:val="00B31636"/>
    <w:rsid w:val="00B32323"/>
    <w:rsid w:val="00B3241F"/>
    <w:rsid w:val="00B32B2E"/>
    <w:rsid w:val="00B342C4"/>
    <w:rsid w:val="00B34696"/>
    <w:rsid w:val="00B358C9"/>
    <w:rsid w:val="00B35E26"/>
    <w:rsid w:val="00B36734"/>
    <w:rsid w:val="00B36883"/>
    <w:rsid w:val="00B36E60"/>
    <w:rsid w:val="00B37537"/>
    <w:rsid w:val="00B379AA"/>
    <w:rsid w:val="00B37CA6"/>
    <w:rsid w:val="00B40135"/>
    <w:rsid w:val="00B40DE5"/>
    <w:rsid w:val="00B40EC2"/>
    <w:rsid w:val="00B411E5"/>
    <w:rsid w:val="00B41981"/>
    <w:rsid w:val="00B419F1"/>
    <w:rsid w:val="00B42000"/>
    <w:rsid w:val="00B42632"/>
    <w:rsid w:val="00B43C2F"/>
    <w:rsid w:val="00B44814"/>
    <w:rsid w:val="00B44852"/>
    <w:rsid w:val="00B44D2A"/>
    <w:rsid w:val="00B4537F"/>
    <w:rsid w:val="00B4551B"/>
    <w:rsid w:val="00B4779B"/>
    <w:rsid w:val="00B479B7"/>
    <w:rsid w:val="00B47A0A"/>
    <w:rsid w:val="00B47B77"/>
    <w:rsid w:val="00B47F96"/>
    <w:rsid w:val="00B50979"/>
    <w:rsid w:val="00B520E3"/>
    <w:rsid w:val="00B524FB"/>
    <w:rsid w:val="00B52597"/>
    <w:rsid w:val="00B52C25"/>
    <w:rsid w:val="00B53567"/>
    <w:rsid w:val="00B53636"/>
    <w:rsid w:val="00B53A8E"/>
    <w:rsid w:val="00B549D3"/>
    <w:rsid w:val="00B54F5A"/>
    <w:rsid w:val="00B55CF8"/>
    <w:rsid w:val="00B56B1A"/>
    <w:rsid w:val="00B56FE7"/>
    <w:rsid w:val="00B57B85"/>
    <w:rsid w:val="00B57C24"/>
    <w:rsid w:val="00B57F48"/>
    <w:rsid w:val="00B604E6"/>
    <w:rsid w:val="00B60791"/>
    <w:rsid w:val="00B60FCF"/>
    <w:rsid w:val="00B6128A"/>
    <w:rsid w:val="00B61685"/>
    <w:rsid w:val="00B619C1"/>
    <w:rsid w:val="00B620C8"/>
    <w:rsid w:val="00B624AE"/>
    <w:rsid w:val="00B62C6E"/>
    <w:rsid w:val="00B62F79"/>
    <w:rsid w:val="00B63E43"/>
    <w:rsid w:val="00B63F18"/>
    <w:rsid w:val="00B64337"/>
    <w:rsid w:val="00B6457B"/>
    <w:rsid w:val="00B65B2A"/>
    <w:rsid w:val="00B661B7"/>
    <w:rsid w:val="00B666B1"/>
    <w:rsid w:val="00B667A3"/>
    <w:rsid w:val="00B66898"/>
    <w:rsid w:val="00B679DC"/>
    <w:rsid w:val="00B70410"/>
    <w:rsid w:val="00B71043"/>
    <w:rsid w:val="00B715FD"/>
    <w:rsid w:val="00B7171D"/>
    <w:rsid w:val="00B71BDF"/>
    <w:rsid w:val="00B71F55"/>
    <w:rsid w:val="00B7241E"/>
    <w:rsid w:val="00B726C0"/>
    <w:rsid w:val="00B72C87"/>
    <w:rsid w:val="00B730C0"/>
    <w:rsid w:val="00B73243"/>
    <w:rsid w:val="00B73783"/>
    <w:rsid w:val="00B73B11"/>
    <w:rsid w:val="00B74D30"/>
    <w:rsid w:val="00B74F2A"/>
    <w:rsid w:val="00B75C17"/>
    <w:rsid w:val="00B7674D"/>
    <w:rsid w:val="00B76D13"/>
    <w:rsid w:val="00B76EFB"/>
    <w:rsid w:val="00B771FD"/>
    <w:rsid w:val="00B772F5"/>
    <w:rsid w:val="00B775DE"/>
    <w:rsid w:val="00B77CA7"/>
    <w:rsid w:val="00B807F2"/>
    <w:rsid w:val="00B808F5"/>
    <w:rsid w:val="00B808FB"/>
    <w:rsid w:val="00B80D9A"/>
    <w:rsid w:val="00B80F20"/>
    <w:rsid w:val="00B818D1"/>
    <w:rsid w:val="00B81C0C"/>
    <w:rsid w:val="00B836E8"/>
    <w:rsid w:val="00B83FDE"/>
    <w:rsid w:val="00B84032"/>
    <w:rsid w:val="00B8526D"/>
    <w:rsid w:val="00B861B3"/>
    <w:rsid w:val="00B864F0"/>
    <w:rsid w:val="00B86886"/>
    <w:rsid w:val="00B87374"/>
    <w:rsid w:val="00B8737E"/>
    <w:rsid w:val="00B87BF4"/>
    <w:rsid w:val="00B87CA5"/>
    <w:rsid w:val="00B90178"/>
    <w:rsid w:val="00B9055F"/>
    <w:rsid w:val="00B905DC"/>
    <w:rsid w:val="00B90746"/>
    <w:rsid w:val="00B90AFB"/>
    <w:rsid w:val="00B90FF1"/>
    <w:rsid w:val="00B914A4"/>
    <w:rsid w:val="00B91833"/>
    <w:rsid w:val="00B92B43"/>
    <w:rsid w:val="00B92D5C"/>
    <w:rsid w:val="00B92E7A"/>
    <w:rsid w:val="00B93DE3"/>
    <w:rsid w:val="00B9404C"/>
    <w:rsid w:val="00B94131"/>
    <w:rsid w:val="00B945D9"/>
    <w:rsid w:val="00B947B8"/>
    <w:rsid w:val="00B9529C"/>
    <w:rsid w:val="00B952FB"/>
    <w:rsid w:val="00B954A0"/>
    <w:rsid w:val="00B95936"/>
    <w:rsid w:val="00B9659C"/>
    <w:rsid w:val="00B9748F"/>
    <w:rsid w:val="00B974B7"/>
    <w:rsid w:val="00B97590"/>
    <w:rsid w:val="00B9795D"/>
    <w:rsid w:val="00B97E1D"/>
    <w:rsid w:val="00B97F5D"/>
    <w:rsid w:val="00BA0004"/>
    <w:rsid w:val="00BA07D0"/>
    <w:rsid w:val="00BA0D88"/>
    <w:rsid w:val="00BA12E7"/>
    <w:rsid w:val="00BA1592"/>
    <w:rsid w:val="00BA1DDC"/>
    <w:rsid w:val="00BA22F2"/>
    <w:rsid w:val="00BA23C8"/>
    <w:rsid w:val="00BA2DB5"/>
    <w:rsid w:val="00BA3622"/>
    <w:rsid w:val="00BA44AA"/>
    <w:rsid w:val="00BA4AB1"/>
    <w:rsid w:val="00BA5171"/>
    <w:rsid w:val="00BA552F"/>
    <w:rsid w:val="00BA59C3"/>
    <w:rsid w:val="00BA5A11"/>
    <w:rsid w:val="00BA5CA2"/>
    <w:rsid w:val="00BA5DC9"/>
    <w:rsid w:val="00BA5FB3"/>
    <w:rsid w:val="00BA63C0"/>
    <w:rsid w:val="00BA6637"/>
    <w:rsid w:val="00BA6FA0"/>
    <w:rsid w:val="00BA6FEF"/>
    <w:rsid w:val="00BA7346"/>
    <w:rsid w:val="00BA79AF"/>
    <w:rsid w:val="00BA7F58"/>
    <w:rsid w:val="00BB075E"/>
    <w:rsid w:val="00BB174B"/>
    <w:rsid w:val="00BB1955"/>
    <w:rsid w:val="00BB250C"/>
    <w:rsid w:val="00BB25ED"/>
    <w:rsid w:val="00BB27FC"/>
    <w:rsid w:val="00BB29DB"/>
    <w:rsid w:val="00BB2CA9"/>
    <w:rsid w:val="00BB3AD9"/>
    <w:rsid w:val="00BB3C35"/>
    <w:rsid w:val="00BB40D8"/>
    <w:rsid w:val="00BB5219"/>
    <w:rsid w:val="00BB548B"/>
    <w:rsid w:val="00BB63E1"/>
    <w:rsid w:val="00BB6BF1"/>
    <w:rsid w:val="00BB6ED9"/>
    <w:rsid w:val="00BB7294"/>
    <w:rsid w:val="00BB74DB"/>
    <w:rsid w:val="00BB7C27"/>
    <w:rsid w:val="00BB7EFC"/>
    <w:rsid w:val="00BC298F"/>
    <w:rsid w:val="00BC2A04"/>
    <w:rsid w:val="00BC2DDE"/>
    <w:rsid w:val="00BC3540"/>
    <w:rsid w:val="00BC3D8B"/>
    <w:rsid w:val="00BC412A"/>
    <w:rsid w:val="00BC4F90"/>
    <w:rsid w:val="00BC519B"/>
    <w:rsid w:val="00BC5387"/>
    <w:rsid w:val="00BC5CDA"/>
    <w:rsid w:val="00BC63BB"/>
    <w:rsid w:val="00BC68CE"/>
    <w:rsid w:val="00BC772C"/>
    <w:rsid w:val="00BC7868"/>
    <w:rsid w:val="00BC7AC8"/>
    <w:rsid w:val="00BD15AE"/>
    <w:rsid w:val="00BD16CB"/>
    <w:rsid w:val="00BD2E0F"/>
    <w:rsid w:val="00BD3267"/>
    <w:rsid w:val="00BD3980"/>
    <w:rsid w:val="00BD3A5B"/>
    <w:rsid w:val="00BD43AE"/>
    <w:rsid w:val="00BD470B"/>
    <w:rsid w:val="00BD4769"/>
    <w:rsid w:val="00BD5087"/>
    <w:rsid w:val="00BD55EA"/>
    <w:rsid w:val="00BD59BD"/>
    <w:rsid w:val="00BD6783"/>
    <w:rsid w:val="00BD72DC"/>
    <w:rsid w:val="00BD7F69"/>
    <w:rsid w:val="00BE04E1"/>
    <w:rsid w:val="00BE0709"/>
    <w:rsid w:val="00BE0D82"/>
    <w:rsid w:val="00BE15BB"/>
    <w:rsid w:val="00BE1701"/>
    <w:rsid w:val="00BE1F8D"/>
    <w:rsid w:val="00BE2428"/>
    <w:rsid w:val="00BE261C"/>
    <w:rsid w:val="00BE2B94"/>
    <w:rsid w:val="00BE2C0B"/>
    <w:rsid w:val="00BE32A5"/>
    <w:rsid w:val="00BE399B"/>
    <w:rsid w:val="00BE4D2D"/>
    <w:rsid w:val="00BE5B12"/>
    <w:rsid w:val="00BE5B8F"/>
    <w:rsid w:val="00BE6067"/>
    <w:rsid w:val="00BE635A"/>
    <w:rsid w:val="00BE68A7"/>
    <w:rsid w:val="00BE68B9"/>
    <w:rsid w:val="00BE6A70"/>
    <w:rsid w:val="00BE738E"/>
    <w:rsid w:val="00BE7453"/>
    <w:rsid w:val="00BE7601"/>
    <w:rsid w:val="00BE7695"/>
    <w:rsid w:val="00BF02A8"/>
    <w:rsid w:val="00BF088D"/>
    <w:rsid w:val="00BF08C1"/>
    <w:rsid w:val="00BF0D58"/>
    <w:rsid w:val="00BF0F8D"/>
    <w:rsid w:val="00BF11C3"/>
    <w:rsid w:val="00BF1493"/>
    <w:rsid w:val="00BF14D2"/>
    <w:rsid w:val="00BF1DCF"/>
    <w:rsid w:val="00BF2155"/>
    <w:rsid w:val="00BF2489"/>
    <w:rsid w:val="00BF2A90"/>
    <w:rsid w:val="00BF2DEF"/>
    <w:rsid w:val="00BF309B"/>
    <w:rsid w:val="00BF311F"/>
    <w:rsid w:val="00BF39EF"/>
    <w:rsid w:val="00BF4092"/>
    <w:rsid w:val="00BF4147"/>
    <w:rsid w:val="00BF44F3"/>
    <w:rsid w:val="00BF46CE"/>
    <w:rsid w:val="00BF49D6"/>
    <w:rsid w:val="00BF4AA0"/>
    <w:rsid w:val="00BF5668"/>
    <w:rsid w:val="00BF5D11"/>
    <w:rsid w:val="00BF65CB"/>
    <w:rsid w:val="00BF6673"/>
    <w:rsid w:val="00BF715B"/>
    <w:rsid w:val="00BF797A"/>
    <w:rsid w:val="00BF7F21"/>
    <w:rsid w:val="00C004D9"/>
    <w:rsid w:val="00C005AF"/>
    <w:rsid w:val="00C0080F"/>
    <w:rsid w:val="00C00925"/>
    <w:rsid w:val="00C00B0D"/>
    <w:rsid w:val="00C00C49"/>
    <w:rsid w:val="00C019BD"/>
    <w:rsid w:val="00C01F98"/>
    <w:rsid w:val="00C026ED"/>
    <w:rsid w:val="00C03050"/>
    <w:rsid w:val="00C03AFD"/>
    <w:rsid w:val="00C04117"/>
    <w:rsid w:val="00C0447B"/>
    <w:rsid w:val="00C04489"/>
    <w:rsid w:val="00C044D1"/>
    <w:rsid w:val="00C04E72"/>
    <w:rsid w:val="00C05151"/>
    <w:rsid w:val="00C05BBE"/>
    <w:rsid w:val="00C062FB"/>
    <w:rsid w:val="00C071C8"/>
    <w:rsid w:val="00C10388"/>
    <w:rsid w:val="00C10B37"/>
    <w:rsid w:val="00C111D1"/>
    <w:rsid w:val="00C11C57"/>
    <w:rsid w:val="00C11D74"/>
    <w:rsid w:val="00C11E03"/>
    <w:rsid w:val="00C11E3F"/>
    <w:rsid w:val="00C11FB4"/>
    <w:rsid w:val="00C12B14"/>
    <w:rsid w:val="00C12ED3"/>
    <w:rsid w:val="00C13375"/>
    <w:rsid w:val="00C144E4"/>
    <w:rsid w:val="00C1454D"/>
    <w:rsid w:val="00C1457E"/>
    <w:rsid w:val="00C149D0"/>
    <w:rsid w:val="00C14B75"/>
    <w:rsid w:val="00C1507D"/>
    <w:rsid w:val="00C153F1"/>
    <w:rsid w:val="00C16188"/>
    <w:rsid w:val="00C16406"/>
    <w:rsid w:val="00C16982"/>
    <w:rsid w:val="00C16C87"/>
    <w:rsid w:val="00C16F04"/>
    <w:rsid w:val="00C17427"/>
    <w:rsid w:val="00C174E6"/>
    <w:rsid w:val="00C1762A"/>
    <w:rsid w:val="00C17855"/>
    <w:rsid w:val="00C17A6F"/>
    <w:rsid w:val="00C20070"/>
    <w:rsid w:val="00C2049B"/>
    <w:rsid w:val="00C20B47"/>
    <w:rsid w:val="00C20C80"/>
    <w:rsid w:val="00C20F0B"/>
    <w:rsid w:val="00C20F86"/>
    <w:rsid w:val="00C21203"/>
    <w:rsid w:val="00C21410"/>
    <w:rsid w:val="00C219C3"/>
    <w:rsid w:val="00C22495"/>
    <w:rsid w:val="00C22720"/>
    <w:rsid w:val="00C22984"/>
    <w:rsid w:val="00C22BF3"/>
    <w:rsid w:val="00C23239"/>
    <w:rsid w:val="00C235CE"/>
    <w:rsid w:val="00C23B1C"/>
    <w:rsid w:val="00C23BA5"/>
    <w:rsid w:val="00C24FF1"/>
    <w:rsid w:val="00C25BA1"/>
    <w:rsid w:val="00C25E82"/>
    <w:rsid w:val="00C26034"/>
    <w:rsid w:val="00C26426"/>
    <w:rsid w:val="00C2684F"/>
    <w:rsid w:val="00C26D40"/>
    <w:rsid w:val="00C2765A"/>
    <w:rsid w:val="00C30B34"/>
    <w:rsid w:val="00C30CDA"/>
    <w:rsid w:val="00C30E4F"/>
    <w:rsid w:val="00C30E69"/>
    <w:rsid w:val="00C31531"/>
    <w:rsid w:val="00C323E9"/>
    <w:rsid w:val="00C324D7"/>
    <w:rsid w:val="00C32882"/>
    <w:rsid w:val="00C336B0"/>
    <w:rsid w:val="00C33C42"/>
    <w:rsid w:val="00C33F1C"/>
    <w:rsid w:val="00C348B9"/>
    <w:rsid w:val="00C34A4F"/>
    <w:rsid w:val="00C353D1"/>
    <w:rsid w:val="00C36CA1"/>
    <w:rsid w:val="00C36D40"/>
    <w:rsid w:val="00C374BB"/>
    <w:rsid w:val="00C37560"/>
    <w:rsid w:val="00C3756B"/>
    <w:rsid w:val="00C404AC"/>
    <w:rsid w:val="00C4081E"/>
    <w:rsid w:val="00C408E9"/>
    <w:rsid w:val="00C41443"/>
    <w:rsid w:val="00C41472"/>
    <w:rsid w:val="00C41E4F"/>
    <w:rsid w:val="00C41E98"/>
    <w:rsid w:val="00C4206B"/>
    <w:rsid w:val="00C42106"/>
    <w:rsid w:val="00C427A6"/>
    <w:rsid w:val="00C427BA"/>
    <w:rsid w:val="00C42892"/>
    <w:rsid w:val="00C42C34"/>
    <w:rsid w:val="00C42CE0"/>
    <w:rsid w:val="00C42F2A"/>
    <w:rsid w:val="00C42FEB"/>
    <w:rsid w:val="00C43178"/>
    <w:rsid w:val="00C432E6"/>
    <w:rsid w:val="00C43591"/>
    <w:rsid w:val="00C43EC5"/>
    <w:rsid w:val="00C44E69"/>
    <w:rsid w:val="00C4758E"/>
    <w:rsid w:val="00C4778F"/>
    <w:rsid w:val="00C4791C"/>
    <w:rsid w:val="00C500C9"/>
    <w:rsid w:val="00C50157"/>
    <w:rsid w:val="00C50866"/>
    <w:rsid w:val="00C512F0"/>
    <w:rsid w:val="00C52014"/>
    <w:rsid w:val="00C520BE"/>
    <w:rsid w:val="00C52452"/>
    <w:rsid w:val="00C528C7"/>
    <w:rsid w:val="00C53AE5"/>
    <w:rsid w:val="00C53BD4"/>
    <w:rsid w:val="00C53DF1"/>
    <w:rsid w:val="00C545C0"/>
    <w:rsid w:val="00C54B27"/>
    <w:rsid w:val="00C54C47"/>
    <w:rsid w:val="00C54FBC"/>
    <w:rsid w:val="00C55821"/>
    <w:rsid w:val="00C558B4"/>
    <w:rsid w:val="00C56037"/>
    <w:rsid w:val="00C56089"/>
    <w:rsid w:val="00C56D1D"/>
    <w:rsid w:val="00C56E94"/>
    <w:rsid w:val="00C570EE"/>
    <w:rsid w:val="00C574B3"/>
    <w:rsid w:val="00C57E82"/>
    <w:rsid w:val="00C6005E"/>
    <w:rsid w:val="00C603C0"/>
    <w:rsid w:val="00C6058A"/>
    <w:rsid w:val="00C608B1"/>
    <w:rsid w:val="00C60FF9"/>
    <w:rsid w:val="00C614E6"/>
    <w:rsid w:val="00C615A4"/>
    <w:rsid w:val="00C6187D"/>
    <w:rsid w:val="00C61A7C"/>
    <w:rsid w:val="00C61AC3"/>
    <w:rsid w:val="00C61F4A"/>
    <w:rsid w:val="00C6278E"/>
    <w:rsid w:val="00C628B9"/>
    <w:rsid w:val="00C62B65"/>
    <w:rsid w:val="00C62BCC"/>
    <w:rsid w:val="00C62C1A"/>
    <w:rsid w:val="00C62DF0"/>
    <w:rsid w:val="00C63085"/>
    <w:rsid w:val="00C63543"/>
    <w:rsid w:val="00C63DCA"/>
    <w:rsid w:val="00C6483A"/>
    <w:rsid w:val="00C66520"/>
    <w:rsid w:val="00C66560"/>
    <w:rsid w:val="00C6762F"/>
    <w:rsid w:val="00C67957"/>
    <w:rsid w:val="00C67C9C"/>
    <w:rsid w:val="00C67DB9"/>
    <w:rsid w:val="00C7006E"/>
    <w:rsid w:val="00C70210"/>
    <w:rsid w:val="00C70A5E"/>
    <w:rsid w:val="00C70BA9"/>
    <w:rsid w:val="00C71023"/>
    <w:rsid w:val="00C71A93"/>
    <w:rsid w:val="00C72230"/>
    <w:rsid w:val="00C722B1"/>
    <w:rsid w:val="00C72765"/>
    <w:rsid w:val="00C72836"/>
    <w:rsid w:val="00C72B3F"/>
    <w:rsid w:val="00C7354D"/>
    <w:rsid w:val="00C737C8"/>
    <w:rsid w:val="00C73C13"/>
    <w:rsid w:val="00C73D72"/>
    <w:rsid w:val="00C73EAC"/>
    <w:rsid w:val="00C73F2C"/>
    <w:rsid w:val="00C7408C"/>
    <w:rsid w:val="00C74346"/>
    <w:rsid w:val="00C75264"/>
    <w:rsid w:val="00C752E9"/>
    <w:rsid w:val="00C756CB"/>
    <w:rsid w:val="00C75FF5"/>
    <w:rsid w:val="00C76A47"/>
    <w:rsid w:val="00C800D4"/>
    <w:rsid w:val="00C80FF9"/>
    <w:rsid w:val="00C810F3"/>
    <w:rsid w:val="00C8110B"/>
    <w:rsid w:val="00C81460"/>
    <w:rsid w:val="00C81657"/>
    <w:rsid w:val="00C81EE7"/>
    <w:rsid w:val="00C81FF8"/>
    <w:rsid w:val="00C82587"/>
    <w:rsid w:val="00C826AF"/>
    <w:rsid w:val="00C82832"/>
    <w:rsid w:val="00C82EF6"/>
    <w:rsid w:val="00C842ED"/>
    <w:rsid w:val="00C84D8D"/>
    <w:rsid w:val="00C851C8"/>
    <w:rsid w:val="00C853D0"/>
    <w:rsid w:val="00C872C1"/>
    <w:rsid w:val="00C875E6"/>
    <w:rsid w:val="00C8762E"/>
    <w:rsid w:val="00C87A61"/>
    <w:rsid w:val="00C907B5"/>
    <w:rsid w:val="00C923A6"/>
    <w:rsid w:val="00C925D5"/>
    <w:rsid w:val="00C9298D"/>
    <w:rsid w:val="00C92C06"/>
    <w:rsid w:val="00C92D88"/>
    <w:rsid w:val="00C92FFD"/>
    <w:rsid w:val="00C93AE5"/>
    <w:rsid w:val="00C946C6"/>
    <w:rsid w:val="00C947B9"/>
    <w:rsid w:val="00C94FB3"/>
    <w:rsid w:val="00C9536F"/>
    <w:rsid w:val="00C957EF"/>
    <w:rsid w:val="00C95C38"/>
    <w:rsid w:val="00C96607"/>
    <w:rsid w:val="00C9699B"/>
    <w:rsid w:val="00CA0DC3"/>
    <w:rsid w:val="00CA0FAB"/>
    <w:rsid w:val="00CA1636"/>
    <w:rsid w:val="00CA1678"/>
    <w:rsid w:val="00CA1681"/>
    <w:rsid w:val="00CA1EF2"/>
    <w:rsid w:val="00CA30FE"/>
    <w:rsid w:val="00CA319C"/>
    <w:rsid w:val="00CA3423"/>
    <w:rsid w:val="00CA344F"/>
    <w:rsid w:val="00CA3617"/>
    <w:rsid w:val="00CA3994"/>
    <w:rsid w:val="00CA3CFB"/>
    <w:rsid w:val="00CA3D2D"/>
    <w:rsid w:val="00CA40E2"/>
    <w:rsid w:val="00CA4180"/>
    <w:rsid w:val="00CA432D"/>
    <w:rsid w:val="00CA4CDE"/>
    <w:rsid w:val="00CA504B"/>
    <w:rsid w:val="00CA559B"/>
    <w:rsid w:val="00CA590E"/>
    <w:rsid w:val="00CA5CD4"/>
    <w:rsid w:val="00CA5E92"/>
    <w:rsid w:val="00CA6097"/>
    <w:rsid w:val="00CA6447"/>
    <w:rsid w:val="00CA6B3F"/>
    <w:rsid w:val="00CA6E91"/>
    <w:rsid w:val="00CA7F73"/>
    <w:rsid w:val="00CB038D"/>
    <w:rsid w:val="00CB0659"/>
    <w:rsid w:val="00CB1B8F"/>
    <w:rsid w:val="00CB21DB"/>
    <w:rsid w:val="00CB28D8"/>
    <w:rsid w:val="00CB32F5"/>
    <w:rsid w:val="00CB431B"/>
    <w:rsid w:val="00CB4F77"/>
    <w:rsid w:val="00CB58DD"/>
    <w:rsid w:val="00CB59BD"/>
    <w:rsid w:val="00CB5AE8"/>
    <w:rsid w:val="00CB5CE8"/>
    <w:rsid w:val="00CB6167"/>
    <w:rsid w:val="00CB62D5"/>
    <w:rsid w:val="00CB7728"/>
    <w:rsid w:val="00CC1189"/>
    <w:rsid w:val="00CC215E"/>
    <w:rsid w:val="00CC259A"/>
    <w:rsid w:val="00CC28AC"/>
    <w:rsid w:val="00CC3021"/>
    <w:rsid w:val="00CC3497"/>
    <w:rsid w:val="00CC3614"/>
    <w:rsid w:val="00CC3A48"/>
    <w:rsid w:val="00CC3A60"/>
    <w:rsid w:val="00CC41C7"/>
    <w:rsid w:val="00CC47FB"/>
    <w:rsid w:val="00CC4889"/>
    <w:rsid w:val="00CC5425"/>
    <w:rsid w:val="00CC55BF"/>
    <w:rsid w:val="00CC5DC3"/>
    <w:rsid w:val="00CC6B47"/>
    <w:rsid w:val="00CD05F0"/>
    <w:rsid w:val="00CD098C"/>
    <w:rsid w:val="00CD0B8E"/>
    <w:rsid w:val="00CD0FD2"/>
    <w:rsid w:val="00CD101E"/>
    <w:rsid w:val="00CD1827"/>
    <w:rsid w:val="00CD1D2E"/>
    <w:rsid w:val="00CD27C4"/>
    <w:rsid w:val="00CD2997"/>
    <w:rsid w:val="00CD2D7D"/>
    <w:rsid w:val="00CD3047"/>
    <w:rsid w:val="00CD321F"/>
    <w:rsid w:val="00CD35F0"/>
    <w:rsid w:val="00CD3740"/>
    <w:rsid w:val="00CD40BD"/>
    <w:rsid w:val="00CD418F"/>
    <w:rsid w:val="00CD4757"/>
    <w:rsid w:val="00CD5034"/>
    <w:rsid w:val="00CD59CE"/>
    <w:rsid w:val="00CD5BEF"/>
    <w:rsid w:val="00CD68A1"/>
    <w:rsid w:val="00CD6B09"/>
    <w:rsid w:val="00CD709B"/>
    <w:rsid w:val="00CD7184"/>
    <w:rsid w:val="00CD7295"/>
    <w:rsid w:val="00CD733E"/>
    <w:rsid w:val="00CD7447"/>
    <w:rsid w:val="00CD79B4"/>
    <w:rsid w:val="00CD7D59"/>
    <w:rsid w:val="00CE0672"/>
    <w:rsid w:val="00CE1454"/>
    <w:rsid w:val="00CE1786"/>
    <w:rsid w:val="00CE1AAA"/>
    <w:rsid w:val="00CE2054"/>
    <w:rsid w:val="00CE21B0"/>
    <w:rsid w:val="00CE335C"/>
    <w:rsid w:val="00CE393F"/>
    <w:rsid w:val="00CE3B18"/>
    <w:rsid w:val="00CE3FAC"/>
    <w:rsid w:val="00CE4698"/>
    <w:rsid w:val="00CE4A0C"/>
    <w:rsid w:val="00CE4A30"/>
    <w:rsid w:val="00CE4EC4"/>
    <w:rsid w:val="00CE4F0B"/>
    <w:rsid w:val="00CE551E"/>
    <w:rsid w:val="00CE6E2A"/>
    <w:rsid w:val="00CE7340"/>
    <w:rsid w:val="00CE7C04"/>
    <w:rsid w:val="00CF0409"/>
    <w:rsid w:val="00CF0518"/>
    <w:rsid w:val="00CF0783"/>
    <w:rsid w:val="00CF0F37"/>
    <w:rsid w:val="00CF1467"/>
    <w:rsid w:val="00CF156F"/>
    <w:rsid w:val="00CF18BA"/>
    <w:rsid w:val="00CF19E5"/>
    <w:rsid w:val="00CF1A24"/>
    <w:rsid w:val="00CF1CD8"/>
    <w:rsid w:val="00CF2038"/>
    <w:rsid w:val="00CF26F6"/>
    <w:rsid w:val="00CF2710"/>
    <w:rsid w:val="00CF34E4"/>
    <w:rsid w:val="00CF4A34"/>
    <w:rsid w:val="00CF522E"/>
    <w:rsid w:val="00CF59CC"/>
    <w:rsid w:val="00CF5F1B"/>
    <w:rsid w:val="00CF6420"/>
    <w:rsid w:val="00CF6486"/>
    <w:rsid w:val="00CF7034"/>
    <w:rsid w:val="00CF7787"/>
    <w:rsid w:val="00D002DA"/>
    <w:rsid w:val="00D00371"/>
    <w:rsid w:val="00D00491"/>
    <w:rsid w:val="00D0094D"/>
    <w:rsid w:val="00D009C9"/>
    <w:rsid w:val="00D00A5D"/>
    <w:rsid w:val="00D00C93"/>
    <w:rsid w:val="00D016D5"/>
    <w:rsid w:val="00D01C19"/>
    <w:rsid w:val="00D01C22"/>
    <w:rsid w:val="00D0257E"/>
    <w:rsid w:val="00D029B4"/>
    <w:rsid w:val="00D02BE2"/>
    <w:rsid w:val="00D02C76"/>
    <w:rsid w:val="00D02D30"/>
    <w:rsid w:val="00D03295"/>
    <w:rsid w:val="00D041DF"/>
    <w:rsid w:val="00D04B33"/>
    <w:rsid w:val="00D05994"/>
    <w:rsid w:val="00D06C83"/>
    <w:rsid w:val="00D0731A"/>
    <w:rsid w:val="00D07FF9"/>
    <w:rsid w:val="00D10B46"/>
    <w:rsid w:val="00D11BDA"/>
    <w:rsid w:val="00D11DBE"/>
    <w:rsid w:val="00D12548"/>
    <w:rsid w:val="00D1258E"/>
    <w:rsid w:val="00D12659"/>
    <w:rsid w:val="00D12ED6"/>
    <w:rsid w:val="00D1379B"/>
    <w:rsid w:val="00D14206"/>
    <w:rsid w:val="00D146F9"/>
    <w:rsid w:val="00D152B3"/>
    <w:rsid w:val="00D1550C"/>
    <w:rsid w:val="00D15956"/>
    <w:rsid w:val="00D15BD9"/>
    <w:rsid w:val="00D167FD"/>
    <w:rsid w:val="00D16EC7"/>
    <w:rsid w:val="00D17158"/>
    <w:rsid w:val="00D20317"/>
    <w:rsid w:val="00D207D1"/>
    <w:rsid w:val="00D20BD8"/>
    <w:rsid w:val="00D2114A"/>
    <w:rsid w:val="00D214E8"/>
    <w:rsid w:val="00D2198E"/>
    <w:rsid w:val="00D22238"/>
    <w:rsid w:val="00D224F2"/>
    <w:rsid w:val="00D2276E"/>
    <w:rsid w:val="00D2288D"/>
    <w:rsid w:val="00D22AAC"/>
    <w:rsid w:val="00D233B7"/>
    <w:rsid w:val="00D234A0"/>
    <w:rsid w:val="00D23DAD"/>
    <w:rsid w:val="00D24305"/>
    <w:rsid w:val="00D24BD3"/>
    <w:rsid w:val="00D25745"/>
    <w:rsid w:val="00D25ADE"/>
    <w:rsid w:val="00D26835"/>
    <w:rsid w:val="00D26AAE"/>
    <w:rsid w:val="00D26B8C"/>
    <w:rsid w:val="00D26F4F"/>
    <w:rsid w:val="00D27B16"/>
    <w:rsid w:val="00D305A3"/>
    <w:rsid w:val="00D305CD"/>
    <w:rsid w:val="00D3073E"/>
    <w:rsid w:val="00D30BEC"/>
    <w:rsid w:val="00D3102B"/>
    <w:rsid w:val="00D319C7"/>
    <w:rsid w:val="00D322D5"/>
    <w:rsid w:val="00D32402"/>
    <w:rsid w:val="00D325F3"/>
    <w:rsid w:val="00D328BD"/>
    <w:rsid w:val="00D329A3"/>
    <w:rsid w:val="00D32A77"/>
    <w:rsid w:val="00D32EF3"/>
    <w:rsid w:val="00D33055"/>
    <w:rsid w:val="00D33E9A"/>
    <w:rsid w:val="00D345D3"/>
    <w:rsid w:val="00D34892"/>
    <w:rsid w:val="00D34B5D"/>
    <w:rsid w:val="00D35866"/>
    <w:rsid w:val="00D359D0"/>
    <w:rsid w:val="00D3673E"/>
    <w:rsid w:val="00D40330"/>
    <w:rsid w:val="00D40401"/>
    <w:rsid w:val="00D4182C"/>
    <w:rsid w:val="00D41D8B"/>
    <w:rsid w:val="00D42330"/>
    <w:rsid w:val="00D4285B"/>
    <w:rsid w:val="00D43A5A"/>
    <w:rsid w:val="00D446C1"/>
    <w:rsid w:val="00D45B03"/>
    <w:rsid w:val="00D45B07"/>
    <w:rsid w:val="00D46180"/>
    <w:rsid w:val="00D4695F"/>
    <w:rsid w:val="00D46B0F"/>
    <w:rsid w:val="00D47557"/>
    <w:rsid w:val="00D47848"/>
    <w:rsid w:val="00D47A8C"/>
    <w:rsid w:val="00D501E7"/>
    <w:rsid w:val="00D50844"/>
    <w:rsid w:val="00D512A7"/>
    <w:rsid w:val="00D5144B"/>
    <w:rsid w:val="00D51EA0"/>
    <w:rsid w:val="00D5280B"/>
    <w:rsid w:val="00D52A85"/>
    <w:rsid w:val="00D52BD9"/>
    <w:rsid w:val="00D532DE"/>
    <w:rsid w:val="00D53D71"/>
    <w:rsid w:val="00D544C0"/>
    <w:rsid w:val="00D54615"/>
    <w:rsid w:val="00D5467E"/>
    <w:rsid w:val="00D54E3D"/>
    <w:rsid w:val="00D56CA3"/>
    <w:rsid w:val="00D56F98"/>
    <w:rsid w:val="00D60236"/>
    <w:rsid w:val="00D60967"/>
    <w:rsid w:val="00D60FB6"/>
    <w:rsid w:val="00D61A88"/>
    <w:rsid w:val="00D61BD3"/>
    <w:rsid w:val="00D6237F"/>
    <w:rsid w:val="00D62BF1"/>
    <w:rsid w:val="00D62FD5"/>
    <w:rsid w:val="00D63514"/>
    <w:rsid w:val="00D63CE7"/>
    <w:rsid w:val="00D64392"/>
    <w:rsid w:val="00D643FE"/>
    <w:rsid w:val="00D644D4"/>
    <w:rsid w:val="00D64CF1"/>
    <w:rsid w:val="00D650C2"/>
    <w:rsid w:val="00D65B8A"/>
    <w:rsid w:val="00D665ED"/>
    <w:rsid w:val="00D66D7A"/>
    <w:rsid w:val="00D670A9"/>
    <w:rsid w:val="00D670D4"/>
    <w:rsid w:val="00D7049D"/>
    <w:rsid w:val="00D708A1"/>
    <w:rsid w:val="00D70904"/>
    <w:rsid w:val="00D709A8"/>
    <w:rsid w:val="00D70FAF"/>
    <w:rsid w:val="00D71262"/>
    <w:rsid w:val="00D71380"/>
    <w:rsid w:val="00D72586"/>
    <w:rsid w:val="00D72603"/>
    <w:rsid w:val="00D735A9"/>
    <w:rsid w:val="00D73DB1"/>
    <w:rsid w:val="00D73DB9"/>
    <w:rsid w:val="00D73DCD"/>
    <w:rsid w:val="00D74399"/>
    <w:rsid w:val="00D744C9"/>
    <w:rsid w:val="00D74AAE"/>
    <w:rsid w:val="00D74AC2"/>
    <w:rsid w:val="00D75550"/>
    <w:rsid w:val="00D75721"/>
    <w:rsid w:val="00D75DB0"/>
    <w:rsid w:val="00D75EE4"/>
    <w:rsid w:val="00D763A9"/>
    <w:rsid w:val="00D807BF"/>
    <w:rsid w:val="00D815E0"/>
    <w:rsid w:val="00D8167D"/>
    <w:rsid w:val="00D81A36"/>
    <w:rsid w:val="00D81F4B"/>
    <w:rsid w:val="00D8314E"/>
    <w:rsid w:val="00D8316D"/>
    <w:rsid w:val="00D83223"/>
    <w:rsid w:val="00D83743"/>
    <w:rsid w:val="00D83C9C"/>
    <w:rsid w:val="00D84245"/>
    <w:rsid w:val="00D84398"/>
    <w:rsid w:val="00D8467D"/>
    <w:rsid w:val="00D8527F"/>
    <w:rsid w:val="00D85474"/>
    <w:rsid w:val="00D859B8"/>
    <w:rsid w:val="00D85C5A"/>
    <w:rsid w:val="00D8696B"/>
    <w:rsid w:val="00D86B0B"/>
    <w:rsid w:val="00D9061D"/>
    <w:rsid w:val="00D91B98"/>
    <w:rsid w:val="00D922AC"/>
    <w:rsid w:val="00D92390"/>
    <w:rsid w:val="00D92732"/>
    <w:rsid w:val="00D931A7"/>
    <w:rsid w:val="00D946C9"/>
    <w:rsid w:val="00D94B74"/>
    <w:rsid w:val="00D94DF7"/>
    <w:rsid w:val="00D95490"/>
    <w:rsid w:val="00D9593C"/>
    <w:rsid w:val="00D963F3"/>
    <w:rsid w:val="00D96C5F"/>
    <w:rsid w:val="00D9726E"/>
    <w:rsid w:val="00D9738C"/>
    <w:rsid w:val="00D97585"/>
    <w:rsid w:val="00D97F55"/>
    <w:rsid w:val="00DA0684"/>
    <w:rsid w:val="00DA0DD8"/>
    <w:rsid w:val="00DA0FB4"/>
    <w:rsid w:val="00DA1EE2"/>
    <w:rsid w:val="00DA2674"/>
    <w:rsid w:val="00DA2F03"/>
    <w:rsid w:val="00DA30FB"/>
    <w:rsid w:val="00DA339E"/>
    <w:rsid w:val="00DA34B8"/>
    <w:rsid w:val="00DA3577"/>
    <w:rsid w:val="00DA35CE"/>
    <w:rsid w:val="00DA36C3"/>
    <w:rsid w:val="00DA3F9A"/>
    <w:rsid w:val="00DA42FA"/>
    <w:rsid w:val="00DA4757"/>
    <w:rsid w:val="00DA4815"/>
    <w:rsid w:val="00DA492C"/>
    <w:rsid w:val="00DA5024"/>
    <w:rsid w:val="00DA53BB"/>
    <w:rsid w:val="00DA593D"/>
    <w:rsid w:val="00DA60A2"/>
    <w:rsid w:val="00DA66F3"/>
    <w:rsid w:val="00DA75F9"/>
    <w:rsid w:val="00DB015A"/>
    <w:rsid w:val="00DB10A7"/>
    <w:rsid w:val="00DB10E4"/>
    <w:rsid w:val="00DB2188"/>
    <w:rsid w:val="00DB2B06"/>
    <w:rsid w:val="00DB3372"/>
    <w:rsid w:val="00DB350C"/>
    <w:rsid w:val="00DB3EEF"/>
    <w:rsid w:val="00DB515F"/>
    <w:rsid w:val="00DB5796"/>
    <w:rsid w:val="00DB5C04"/>
    <w:rsid w:val="00DB7013"/>
    <w:rsid w:val="00DB74C2"/>
    <w:rsid w:val="00DB752F"/>
    <w:rsid w:val="00DB7B88"/>
    <w:rsid w:val="00DB7DBF"/>
    <w:rsid w:val="00DC0474"/>
    <w:rsid w:val="00DC07F0"/>
    <w:rsid w:val="00DC0D26"/>
    <w:rsid w:val="00DC0F36"/>
    <w:rsid w:val="00DC159E"/>
    <w:rsid w:val="00DC1824"/>
    <w:rsid w:val="00DC19C5"/>
    <w:rsid w:val="00DC1CB3"/>
    <w:rsid w:val="00DC1CE3"/>
    <w:rsid w:val="00DC1DC1"/>
    <w:rsid w:val="00DC20AD"/>
    <w:rsid w:val="00DC20B8"/>
    <w:rsid w:val="00DC27E0"/>
    <w:rsid w:val="00DC2B4F"/>
    <w:rsid w:val="00DC390C"/>
    <w:rsid w:val="00DC3A51"/>
    <w:rsid w:val="00DC3B21"/>
    <w:rsid w:val="00DC3D81"/>
    <w:rsid w:val="00DC4276"/>
    <w:rsid w:val="00DC4562"/>
    <w:rsid w:val="00DC4B8D"/>
    <w:rsid w:val="00DC4D60"/>
    <w:rsid w:val="00DC4E15"/>
    <w:rsid w:val="00DC523F"/>
    <w:rsid w:val="00DC5964"/>
    <w:rsid w:val="00DC5A05"/>
    <w:rsid w:val="00DC636E"/>
    <w:rsid w:val="00DC6746"/>
    <w:rsid w:val="00DC68CC"/>
    <w:rsid w:val="00DC6F70"/>
    <w:rsid w:val="00DC79C2"/>
    <w:rsid w:val="00DC7C8E"/>
    <w:rsid w:val="00DD0233"/>
    <w:rsid w:val="00DD033F"/>
    <w:rsid w:val="00DD03F9"/>
    <w:rsid w:val="00DD0675"/>
    <w:rsid w:val="00DD0BF7"/>
    <w:rsid w:val="00DD1547"/>
    <w:rsid w:val="00DD1551"/>
    <w:rsid w:val="00DD18F7"/>
    <w:rsid w:val="00DD1BDD"/>
    <w:rsid w:val="00DD2626"/>
    <w:rsid w:val="00DD32EC"/>
    <w:rsid w:val="00DD3885"/>
    <w:rsid w:val="00DD3D62"/>
    <w:rsid w:val="00DD3D9B"/>
    <w:rsid w:val="00DD4552"/>
    <w:rsid w:val="00DD4817"/>
    <w:rsid w:val="00DD49AB"/>
    <w:rsid w:val="00DD4AFF"/>
    <w:rsid w:val="00DD53A5"/>
    <w:rsid w:val="00DD634D"/>
    <w:rsid w:val="00DD6499"/>
    <w:rsid w:val="00DD6A2E"/>
    <w:rsid w:val="00DD6D12"/>
    <w:rsid w:val="00DD772D"/>
    <w:rsid w:val="00DD79C9"/>
    <w:rsid w:val="00DD7C87"/>
    <w:rsid w:val="00DD7F2C"/>
    <w:rsid w:val="00DE01C5"/>
    <w:rsid w:val="00DE0A89"/>
    <w:rsid w:val="00DE119F"/>
    <w:rsid w:val="00DE1245"/>
    <w:rsid w:val="00DE1632"/>
    <w:rsid w:val="00DE167C"/>
    <w:rsid w:val="00DE16EC"/>
    <w:rsid w:val="00DE24F3"/>
    <w:rsid w:val="00DE3016"/>
    <w:rsid w:val="00DE31E8"/>
    <w:rsid w:val="00DE385A"/>
    <w:rsid w:val="00DE3ED7"/>
    <w:rsid w:val="00DE4066"/>
    <w:rsid w:val="00DE4108"/>
    <w:rsid w:val="00DE424C"/>
    <w:rsid w:val="00DE4341"/>
    <w:rsid w:val="00DE5106"/>
    <w:rsid w:val="00DE531A"/>
    <w:rsid w:val="00DE64A5"/>
    <w:rsid w:val="00DE6B27"/>
    <w:rsid w:val="00DE7C0E"/>
    <w:rsid w:val="00DF062F"/>
    <w:rsid w:val="00DF10BA"/>
    <w:rsid w:val="00DF15B8"/>
    <w:rsid w:val="00DF183C"/>
    <w:rsid w:val="00DF1E94"/>
    <w:rsid w:val="00DF2065"/>
    <w:rsid w:val="00DF2179"/>
    <w:rsid w:val="00DF2D9F"/>
    <w:rsid w:val="00DF3B64"/>
    <w:rsid w:val="00DF3BFB"/>
    <w:rsid w:val="00DF3DCC"/>
    <w:rsid w:val="00DF3FF3"/>
    <w:rsid w:val="00DF44A6"/>
    <w:rsid w:val="00DF44CB"/>
    <w:rsid w:val="00DF4907"/>
    <w:rsid w:val="00DF5345"/>
    <w:rsid w:val="00DF536C"/>
    <w:rsid w:val="00DF5954"/>
    <w:rsid w:val="00DF5A5F"/>
    <w:rsid w:val="00DF66E8"/>
    <w:rsid w:val="00DF697E"/>
    <w:rsid w:val="00DF70A3"/>
    <w:rsid w:val="00DF72F6"/>
    <w:rsid w:val="00DF7EEF"/>
    <w:rsid w:val="00E000CD"/>
    <w:rsid w:val="00E0216F"/>
    <w:rsid w:val="00E0283F"/>
    <w:rsid w:val="00E02949"/>
    <w:rsid w:val="00E029A2"/>
    <w:rsid w:val="00E033D3"/>
    <w:rsid w:val="00E03972"/>
    <w:rsid w:val="00E040F2"/>
    <w:rsid w:val="00E0487F"/>
    <w:rsid w:val="00E04E39"/>
    <w:rsid w:val="00E05058"/>
    <w:rsid w:val="00E05416"/>
    <w:rsid w:val="00E0554D"/>
    <w:rsid w:val="00E055B4"/>
    <w:rsid w:val="00E0566B"/>
    <w:rsid w:val="00E05E02"/>
    <w:rsid w:val="00E05F3A"/>
    <w:rsid w:val="00E065F3"/>
    <w:rsid w:val="00E067B0"/>
    <w:rsid w:val="00E068A5"/>
    <w:rsid w:val="00E06DD2"/>
    <w:rsid w:val="00E0725C"/>
    <w:rsid w:val="00E07C25"/>
    <w:rsid w:val="00E10507"/>
    <w:rsid w:val="00E10678"/>
    <w:rsid w:val="00E108F8"/>
    <w:rsid w:val="00E10F03"/>
    <w:rsid w:val="00E1128F"/>
    <w:rsid w:val="00E117EF"/>
    <w:rsid w:val="00E1220C"/>
    <w:rsid w:val="00E122AA"/>
    <w:rsid w:val="00E12A5E"/>
    <w:rsid w:val="00E1385F"/>
    <w:rsid w:val="00E13976"/>
    <w:rsid w:val="00E13A46"/>
    <w:rsid w:val="00E13BF3"/>
    <w:rsid w:val="00E14156"/>
    <w:rsid w:val="00E141AA"/>
    <w:rsid w:val="00E144BA"/>
    <w:rsid w:val="00E1468A"/>
    <w:rsid w:val="00E1599F"/>
    <w:rsid w:val="00E17318"/>
    <w:rsid w:val="00E17857"/>
    <w:rsid w:val="00E1788F"/>
    <w:rsid w:val="00E17DD6"/>
    <w:rsid w:val="00E20450"/>
    <w:rsid w:val="00E20BE1"/>
    <w:rsid w:val="00E210B6"/>
    <w:rsid w:val="00E210D4"/>
    <w:rsid w:val="00E2129D"/>
    <w:rsid w:val="00E217A6"/>
    <w:rsid w:val="00E21BA7"/>
    <w:rsid w:val="00E21C0A"/>
    <w:rsid w:val="00E21C9C"/>
    <w:rsid w:val="00E21E8E"/>
    <w:rsid w:val="00E221DF"/>
    <w:rsid w:val="00E221E5"/>
    <w:rsid w:val="00E222CA"/>
    <w:rsid w:val="00E229D7"/>
    <w:rsid w:val="00E2320C"/>
    <w:rsid w:val="00E2347E"/>
    <w:rsid w:val="00E235A2"/>
    <w:rsid w:val="00E23995"/>
    <w:rsid w:val="00E23E99"/>
    <w:rsid w:val="00E24167"/>
    <w:rsid w:val="00E2453B"/>
    <w:rsid w:val="00E248D7"/>
    <w:rsid w:val="00E254AF"/>
    <w:rsid w:val="00E25A82"/>
    <w:rsid w:val="00E25C4A"/>
    <w:rsid w:val="00E25D6E"/>
    <w:rsid w:val="00E26537"/>
    <w:rsid w:val="00E27163"/>
    <w:rsid w:val="00E274DF"/>
    <w:rsid w:val="00E300EB"/>
    <w:rsid w:val="00E31988"/>
    <w:rsid w:val="00E32975"/>
    <w:rsid w:val="00E35C01"/>
    <w:rsid w:val="00E35CDB"/>
    <w:rsid w:val="00E365E2"/>
    <w:rsid w:val="00E36D84"/>
    <w:rsid w:val="00E3717F"/>
    <w:rsid w:val="00E3771B"/>
    <w:rsid w:val="00E403D5"/>
    <w:rsid w:val="00E4064F"/>
    <w:rsid w:val="00E41A57"/>
    <w:rsid w:val="00E4241A"/>
    <w:rsid w:val="00E42907"/>
    <w:rsid w:val="00E430AF"/>
    <w:rsid w:val="00E44AC7"/>
    <w:rsid w:val="00E45F1C"/>
    <w:rsid w:val="00E50957"/>
    <w:rsid w:val="00E50A36"/>
    <w:rsid w:val="00E50B35"/>
    <w:rsid w:val="00E50E94"/>
    <w:rsid w:val="00E51B53"/>
    <w:rsid w:val="00E52760"/>
    <w:rsid w:val="00E52EBD"/>
    <w:rsid w:val="00E54072"/>
    <w:rsid w:val="00E5411F"/>
    <w:rsid w:val="00E54256"/>
    <w:rsid w:val="00E54903"/>
    <w:rsid w:val="00E54C3E"/>
    <w:rsid w:val="00E54CB6"/>
    <w:rsid w:val="00E54F9C"/>
    <w:rsid w:val="00E550A4"/>
    <w:rsid w:val="00E558F1"/>
    <w:rsid w:val="00E55982"/>
    <w:rsid w:val="00E55F1E"/>
    <w:rsid w:val="00E56888"/>
    <w:rsid w:val="00E57B02"/>
    <w:rsid w:val="00E57B2D"/>
    <w:rsid w:val="00E60C21"/>
    <w:rsid w:val="00E60F63"/>
    <w:rsid w:val="00E61C30"/>
    <w:rsid w:val="00E62043"/>
    <w:rsid w:val="00E628B3"/>
    <w:rsid w:val="00E62914"/>
    <w:rsid w:val="00E62E3E"/>
    <w:rsid w:val="00E63218"/>
    <w:rsid w:val="00E63770"/>
    <w:rsid w:val="00E642FB"/>
    <w:rsid w:val="00E644FC"/>
    <w:rsid w:val="00E64C27"/>
    <w:rsid w:val="00E65261"/>
    <w:rsid w:val="00E65569"/>
    <w:rsid w:val="00E656EF"/>
    <w:rsid w:val="00E6589D"/>
    <w:rsid w:val="00E658B3"/>
    <w:rsid w:val="00E658BA"/>
    <w:rsid w:val="00E65CFC"/>
    <w:rsid w:val="00E661A3"/>
    <w:rsid w:val="00E663C1"/>
    <w:rsid w:val="00E66A9B"/>
    <w:rsid w:val="00E67167"/>
    <w:rsid w:val="00E67603"/>
    <w:rsid w:val="00E70790"/>
    <w:rsid w:val="00E70B54"/>
    <w:rsid w:val="00E712F7"/>
    <w:rsid w:val="00E71E52"/>
    <w:rsid w:val="00E71EB7"/>
    <w:rsid w:val="00E723FF"/>
    <w:rsid w:val="00E72498"/>
    <w:rsid w:val="00E73FBE"/>
    <w:rsid w:val="00E7443F"/>
    <w:rsid w:val="00E748AB"/>
    <w:rsid w:val="00E75486"/>
    <w:rsid w:val="00E75766"/>
    <w:rsid w:val="00E758F4"/>
    <w:rsid w:val="00E76785"/>
    <w:rsid w:val="00E778E1"/>
    <w:rsid w:val="00E77E66"/>
    <w:rsid w:val="00E80C8D"/>
    <w:rsid w:val="00E80E27"/>
    <w:rsid w:val="00E8117F"/>
    <w:rsid w:val="00E81AA4"/>
    <w:rsid w:val="00E82000"/>
    <w:rsid w:val="00E831CD"/>
    <w:rsid w:val="00E835F0"/>
    <w:rsid w:val="00E83CEB"/>
    <w:rsid w:val="00E83D4B"/>
    <w:rsid w:val="00E84457"/>
    <w:rsid w:val="00E84DC4"/>
    <w:rsid w:val="00E84DCC"/>
    <w:rsid w:val="00E84E0B"/>
    <w:rsid w:val="00E863A0"/>
    <w:rsid w:val="00E873A7"/>
    <w:rsid w:val="00E87AE1"/>
    <w:rsid w:val="00E87EF4"/>
    <w:rsid w:val="00E900F1"/>
    <w:rsid w:val="00E909E5"/>
    <w:rsid w:val="00E909E9"/>
    <w:rsid w:val="00E90FA3"/>
    <w:rsid w:val="00E91FB3"/>
    <w:rsid w:val="00E92083"/>
    <w:rsid w:val="00E923ED"/>
    <w:rsid w:val="00E92AC7"/>
    <w:rsid w:val="00E930D3"/>
    <w:rsid w:val="00E94A6F"/>
    <w:rsid w:val="00E94B69"/>
    <w:rsid w:val="00E950DF"/>
    <w:rsid w:val="00E9513D"/>
    <w:rsid w:val="00E953D2"/>
    <w:rsid w:val="00E9546B"/>
    <w:rsid w:val="00E95FA1"/>
    <w:rsid w:val="00E96209"/>
    <w:rsid w:val="00E974E5"/>
    <w:rsid w:val="00E97A3C"/>
    <w:rsid w:val="00EA02B5"/>
    <w:rsid w:val="00EA03EE"/>
    <w:rsid w:val="00EA05A1"/>
    <w:rsid w:val="00EA05FB"/>
    <w:rsid w:val="00EA0CBC"/>
    <w:rsid w:val="00EA105A"/>
    <w:rsid w:val="00EA124D"/>
    <w:rsid w:val="00EA164A"/>
    <w:rsid w:val="00EA18D5"/>
    <w:rsid w:val="00EA1E00"/>
    <w:rsid w:val="00EA24AC"/>
    <w:rsid w:val="00EA262E"/>
    <w:rsid w:val="00EA2773"/>
    <w:rsid w:val="00EA2BCF"/>
    <w:rsid w:val="00EA2F31"/>
    <w:rsid w:val="00EA38C4"/>
    <w:rsid w:val="00EA3A78"/>
    <w:rsid w:val="00EA3B11"/>
    <w:rsid w:val="00EA3C7A"/>
    <w:rsid w:val="00EA3DED"/>
    <w:rsid w:val="00EA412D"/>
    <w:rsid w:val="00EA4728"/>
    <w:rsid w:val="00EA53D3"/>
    <w:rsid w:val="00EA5E0C"/>
    <w:rsid w:val="00EA5E36"/>
    <w:rsid w:val="00EA6412"/>
    <w:rsid w:val="00EB031A"/>
    <w:rsid w:val="00EB0D10"/>
    <w:rsid w:val="00EB0FB1"/>
    <w:rsid w:val="00EB1456"/>
    <w:rsid w:val="00EB1584"/>
    <w:rsid w:val="00EB2027"/>
    <w:rsid w:val="00EB216A"/>
    <w:rsid w:val="00EB241A"/>
    <w:rsid w:val="00EB26FB"/>
    <w:rsid w:val="00EB29EA"/>
    <w:rsid w:val="00EB2CF9"/>
    <w:rsid w:val="00EB31E0"/>
    <w:rsid w:val="00EB33BF"/>
    <w:rsid w:val="00EB346E"/>
    <w:rsid w:val="00EB3827"/>
    <w:rsid w:val="00EB3EAF"/>
    <w:rsid w:val="00EB3EE1"/>
    <w:rsid w:val="00EB41CC"/>
    <w:rsid w:val="00EB60F5"/>
    <w:rsid w:val="00EB66DC"/>
    <w:rsid w:val="00EB68C6"/>
    <w:rsid w:val="00EB706F"/>
    <w:rsid w:val="00EC0226"/>
    <w:rsid w:val="00EC0807"/>
    <w:rsid w:val="00EC1314"/>
    <w:rsid w:val="00EC23E6"/>
    <w:rsid w:val="00EC2527"/>
    <w:rsid w:val="00EC267B"/>
    <w:rsid w:val="00EC3EBF"/>
    <w:rsid w:val="00EC44BF"/>
    <w:rsid w:val="00EC4826"/>
    <w:rsid w:val="00EC4968"/>
    <w:rsid w:val="00EC4C5F"/>
    <w:rsid w:val="00EC56A6"/>
    <w:rsid w:val="00EC638B"/>
    <w:rsid w:val="00EC6D19"/>
    <w:rsid w:val="00EC7575"/>
    <w:rsid w:val="00ED00AE"/>
    <w:rsid w:val="00ED0D6C"/>
    <w:rsid w:val="00ED1745"/>
    <w:rsid w:val="00ED17E1"/>
    <w:rsid w:val="00ED1AE2"/>
    <w:rsid w:val="00ED1EE2"/>
    <w:rsid w:val="00ED2231"/>
    <w:rsid w:val="00ED264C"/>
    <w:rsid w:val="00ED2A37"/>
    <w:rsid w:val="00ED3110"/>
    <w:rsid w:val="00ED3513"/>
    <w:rsid w:val="00ED3538"/>
    <w:rsid w:val="00ED3CD5"/>
    <w:rsid w:val="00ED4112"/>
    <w:rsid w:val="00ED422B"/>
    <w:rsid w:val="00ED43EE"/>
    <w:rsid w:val="00ED4961"/>
    <w:rsid w:val="00ED4EA5"/>
    <w:rsid w:val="00ED5259"/>
    <w:rsid w:val="00ED549B"/>
    <w:rsid w:val="00ED5990"/>
    <w:rsid w:val="00ED6483"/>
    <w:rsid w:val="00ED6A05"/>
    <w:rsid w:val="00ED70EA"/>
    <w:rsid w:val="00ED77EC"/>
    <w:rsid w:val="00ED797B"/>
    <w:rsid w:val="00ED7AFB"/>
    <w:rsid w:val="00EE0ACD"/>
    <w:rsid w:val="00EE10D7"/>
    <w:rsid w:val="00EE1120"/>
    <w:rsid w:val="00EE137D"/>
    <w:rsid w:val="00EE1494"/>
    <w:rsid w:val="00EE15AE"/>
    <w:rsid w:val="00EE18AF"/>
    <w:rsid w:val="00EE1AEA"/>
    <w:rsid w:val="00EE28B7"/>
    <w:rsid w:val="00EE2C08"/>
    <w:rsid w:val="00EE3BEF"/>
    <w:rsid w:val="00EE40C0"/>
    <w:rsid w:val="00EE4823"/>
    <w:rsid w:val="00EE56EC"/>
    <w:rsid w:val="00EE58AF"/>
    <w:rsid w:val="00EE5BF9"/>
    <w:rsid w:val="00EE5F07"/>
    <w:rsid w:val="00EE620B"/>
    <w:rsid w:val="00EE70E3"/>
    <w:rsid w:val="00EE732B"/>
    <w:rsid w:val="00EE7B88"/>
    <w:rsid w:val="00EF00BB"/>
    <w:rsid w:val="00EF013F"/>
    <w:rsid w:val="00EF09C1"/>
    <w:rsid w:val="00EF1392"/>
    <w:rsid w:val="00EF15B1"/>
    <w:rsid w:val="00EF1806"/>
    <w:rsid w:val="00EF1853"/>
    <w:rsid w:val="00EF18CE"/>
    <w:rsid w:val="00EF2AB9"/>
    <w:rsid w:val="00EF2B04"/>
    <w:rsid w:val="00EF38BF"/>
    <w:rsid w:val="00EF38F8"/>
    <w:rsid w:val="00EF3A9C"/>
    <w:rsid w:val="00EF3E49"/>
    <w:rsid w:val="00EF44CF"/>
    <w:rsid w:val="00EF46B3"/>
    <w:rsid w:val="00EF4BE8"/>
    <w:rsid w:val="00EF4CDD"/>
    <w:rsid w:val="00EF5530"/>
    <w:rsid w:val="00EF5893"/>
    <w:rsid w:val="00EF5CE5"/>
    <w:rsid w:val="00EF60A5"/>
    <w:rsid w:val="00EF69E0"/>
    <w:rsid w:val="00EF732D"/>
    <w:rsid w:val="00EF743B"/>
    <w:rsid w:val="00EF78B8"/>
    <w:rsid w:val="00EF7D2C"/>
    <w:rsid w:val="00EF7F8B"/>
    <w:rsid w:val="00F002ED"/>
    <w:rsid w:val="00F00FB4"/>
    <w:rsid w:val="00F012DE"/>
    <w:rsid w:val="00F01A34"/>
    <w:rsid w:val="00F01B6B"/>
    <w:rsid w:val="00F023E1"/>
    <w:rsid w:val="00F034B1"/>
    <w:rsid w:val="00F03C4B"/>
    <w:rsid w:val="00F040AC"/>
    <w:rsid w:val="00F04161"/>
    <w:rsid w:val="00F0425C"/>
    <w:rsid w:val="00F045C4"/>
    <w:rsid w:val="00F04833"/>
    <w:rsid w:val="00F065AB"/>
    <w:rsid w:val="00F0667A"/>
    <w:rsid w:val="00F07DB9"/>
    <w:rsid w:val="00F10BDC"/>
    <w:rsid w:val="00F11568"/>
    <w:rsid w:val="00F11AB3"/>
    <w:rsid w:val="00F11DA1"/>
    <w:rsid w:val="00F11FC1"/>
    <w:rsid w:val="00F1245D"/>
    <w:rsid w:val="00F1295F"/>
    <w:rsid w:val="00F12F2C"/>
    <w:rsid w:val="00F1315D"/>
    <w:rsid w:val="00F13454"/>
    <w:rsid w:val="00F13C92"/>
    <w:rsid w:val="00F1510D"/>
    <w:rsid w:val="00F15A50"/>
    <w:rsid w:val="00F16153"/>
    <w:rsid w:val="00F1615D"/>
    <w:rsid w:val="00F162D6"/>
    <w:rsid w:val="00F162F5"/>
    <w:rsid w:val="00F163FD"/>
    <w:rsid w:val="00F1655C"/>
    <w:rsid w:val="00F16CA9"/>
    <w:rsid w:val="00F1701F"/>
    <w:rsid w:val="00F177CB"/>
    <w:rsid w:val="00F17E8F"/>
    <w:rsid w:val="00F204BE"/>
    <w:rsid w:val="00F215CB"/>
    <w:rsid w:val="00F221FB"/>
    <w:rsid w:val="00F222D2"/>
    <w:rsid w:val="00F226A5"/>
    <w:rsid w:val="00F22F05"/>
    <w:rsid w:val="00F22FEB"/>
    <w:rsid w:val="00F23166"/>
    <w:rsid w:val="00F2318D"/>
    <w:rsid w:val="00F237DF"/>
    <w:rsid w:val="00F2420C"/>
    <w:rsid w:val="00F24797"/>
    <w:rsid w:val="00F24C8C"/>
    <w:rsid w:val="00F25DFA"/>
    <w:rsid w:val="00F26777"/>
    <w:rsid w:val="00F27027"/>
    <w:rsid w:val="00F273E5"/>
    <w:rsid w:val="00F303A4"/>
    <w:rsid w:val="00F30765"/>
    <w:rsid w:val="00F30A99"/>
    <w:rsid w:val="00F32896"/>
    <w:rsid w:val="00F32CE4"/>
    <w:rsid w:val="00F32FBF"/>
    <w:rsid w:val="00F33215"/>
    <w:rsid w:val="00F337BB"/>
    <w:rsid w:val="00F33CFB"/>
    <w:rsid w:val="00F33F9B"/>
    <w:rsid w:val="00F3478A"/>
    <w:rsid w:val="00F34D52"/>
    <w:rsid w:val="00F34E12"/>
    <w:rsid w:val="00F364E5"/>
    <w:rsid w:val="00F364F8"/>
    <w:rsid w:val="00F3675F"/>
    <w:rsid w:val="00F371B2"/>
    <w:rsid w:val="00F373B2"/>
    <w:rsid w:val="00F37FDC"/>
    <w:rsid w:val="00F407EE"/>
    <w:rsid w:val="00F415A2"/>
    <w:rsid w:val="00F41B20"/>
    <w:rsid w:val="00F41B9A"/>
    <w:rsid w:val="00F41C1F"/>
    <w:rsid w:val="00F4216C"/>
    <w:rsid w:val="00F4280F"/>
    <w:rsid w:val="00F42F2C"/>
    <w:rsid w:val="00F431EE"/>
    <w:rsid w:val="00F436C5"/>
    <w:rsid w:val="00F44022"/>
    <w:rsid w:val="00F440BF"/>
    <w:rsid w:val="00F442D5"/>
    <w:rsid w:val="00F44467"/>
    <w:rsid w:val="00F4538A"/>
    <w:rsid w:val="00F45B0A"/>
    <w:rsid w:val="00F45C86"/>
    <w:rsid w:val="00F45E0F"/>
    <w:rsid w:val="00F45FD8"/>
    <w:rsid w:val="00F45FE6"/>
    <w:rsid w:val="00F46985"/>
    <w:rsid w:val="00F46C88"/>
    <w:rsid w:val="00F46D50"/>
    <w:rsid w:val="00F46DAF"/>
    <w:rsid w:val="00F4736E"/>
    <w:rsid w:val="00F5024F"/>
    <w:rsid w:val="00F50718"/>
    <w:rsid w:val="00F5143F"/>
    <w:rsid w:val="00F5177A"/>
    <w:rsid w:val="00F518BD"/>
    <w:rsid w:val="00F51C64"/>
    <w:rsid w:val="00F52408"/>
    <w:rsid w:val="00F524B9"/>
    <w:rsid w:val="00F52848"/>
    <w:rsid w:val="00F5396D"/>
    <w:rsid w:val="00F547E3"/>
    <w:rsid w:val="00F54BD0"/>
    <w:rsid w:val="00F54C10"/>
    <w:rsid w:val="00F559D6"/>
    <w:rsid w:val="00F55D18"/>
    <w:rsid w:val="00F55D71"/>
    <w:rsid w:val="00F55F99"/>
    <w:rsid w:val="00F561AE"/>
    <w:rsid w:val="00F5649B"/>
    <w:rsid w:val="00F57EBA"/>
    <w:rsid w:val="00F60839"/>
    <w:rsid w:val="00F60E7B"/>
    <w:rsid w:val="00F6162F"/>
    <w:rsid w:val="00F62940"/>
    <w:rsid w:val="00F62D77"/>
    <w:rsid w:val="00F63310"/>
    <w:rsid w:val="00F6360B"/>
    <w:rsid w:val="00F63FEF"/>
    <w:rsid w:val="00F642E2"/>
    <w:rsid w:val="00F6437B"/>
    <w:rsid w:val="00F64573"/>
    <w:rsid w:val="00F654F0"/>
    <w:rsid w:val="00F65984"/>
    <w:rsid w:val="00F66320"/>
    <w:rsid w:val="00F665B8"/>
    <w:rsid w:val="00F66637"/>
    <w:rsid w:val="00F66906"/>
    <w:rsid w:val="00F66B74"/>
    <w:rsid w:val="00F674AA"/>
    <w:rsid w:val="00F67E43"/>
    <w:rsid w:val="00F70819"/>
    <w:rsid w:val="00F7091A"/>
    <w:rsid w:val="00F70F42"/>
    <w:rsid w:val="00F713D0"/>
    <w:rsid w:val="00F71BE8"/>
    <w:rsid w:val="00F72CCA"/>
    <w:rsid w:val="00F7368E"/>
    <w:rsid w:val="00F73A70"/>
    <w:rsid w:val="00F74607"/>
    <w:rsid w:val="00F74737"/>
    <w:rsid w:val="00F74E92"/>
    <w:rsid w:val="00F75503"/>
    <w:rsid w:val="00F75DC5"/>
    <w:rsid w:val="00F75DD5"/>
    <w:rsid w:val="00F764A2"/>
    <w:rsid w:val="00F773A0"/>
    <w:rsid w:val="00F773F2"/>
    <w:rsid w:val="00F77696"/>
    <w:rsid w:val="00F8036C"/>
    <w:rsid w:val="00F8041B"/>
    <w:rsid w:val="00F80D56"/>
    <w:rsid w:val="00F812E1"/>
    <w:rsid w:val="00F818C6"/>
    <w:rsid w:val="00F82668"/>
    <w:rsid w:val="00F82857"/>
    <w:rsid w:val="00F82A66"/>
    <w:rsid w:val="00F831FE"/>
    <w:rsid w:val="00F84003"/>
    <w:rsid w:val="00F8490E"/>
    <w:rsid w:val="00F85C8F"/>
    <w:rsid w:val="00F86158"/>
    <w:rsid w:val="00F87736"/>
    <w:rsid w:val="00F8774C"/>
    <w:rsid w:val="00F87AB6"/>
    <w:rsid w:val="00F87CAA"/>
    <w:rsid w:val="00F87D15"/>
    <w:rsid w:val="00F87DEB"/>
    <w:rsid w:val="00F90A7A"/>
    <w:rsid w:val="00F90CF5"/>
    <w:rsid w:val="00F912BC"/>
    <w:rsid w:val="00F9143A"/>
    <w:rsid w:val="00F91A96"/>
    <w:rsid w:val="00F9269F"/>
    <w:rsid w:val="00F932ED"/>
    <w:rsid w:val="00F933DE"/>
    <w:rsid w:val="00F93696"/>
    <w:rsid w:val="00F94629"/>
    <w:rsid w:val="00F94CE8"/>
    <w:rsid w:val="00F94DB0"/>
    <w:rsid w:val="00F94E29"/>
    <w:rsid w:val="00F95FBA"/>
    <w:rsid w:val="00F960A3"/>
    <w:rsid w:val="00F9610B"/>
    <w:rsid w:val="00F96907"/>
    <w:rsid w:val="00F973C2"/>
    <w:rsid w:val="00FA02A9"/>
    <w:rsid w:val="00FA075A"/>
    <w:rsid w:val="00FA09C4"/>
    <w:rsid w:val="00FA0BC9"/>
    <w:rsid w:val="00FA0CC5"/>
    <w:rsid w:val="00FA1FC4"/>
    <w:rsid w:val="00FA2528"/>
    <w:rsid w:val="00FA3B83"/>
    <w:rsid w:val="00FA4084"/>
    <w:rsid w:val="00FA4AE6"/>
    <w:rsid w:val="00FA4B24"/>
    <w:rsid w:val="00FA56C4"/>
    <w:rsid w:val="00FA5E5A"/>
    <w:rsid w:val="00FA62CC"/>
    <w:rsid w:val="00FA6633"/>
    <w:rsid w:val="00FA68C4"/>
    <w:rsid w:val="00FA6952"/>
    <w:rsid w:val="00FA6B10"/>
    <w:rsid w:val="00FA72C5"/>
    <w:rsid w:val="00FA7D0C"/>
    <w:rsid w:val="00FB0F92"/>
    <w:rsid w:val="00FB1BE2"/>
    <w:rsid w:val="00FB1D4F"/>
    <w:rsid w:val="00FB1E43"/>
    <w:rsid w:val="00FB2059"/>
    <w:rsid w:val="00FB22C0"/>
    <w:rsid w:val="00FB240A"/>
    <w:rsid w:val="00FB2E7E"/>
    <w:rsid w:val="00FB37B7"/>
    <w:rsid w:val="00FB3842"/>
    <w:rsid w:val="00FB3BE7"/>
    <w:rsid w:val="00FB3D63"/>
    <w:rsid w:val="00FB4148"/>
    <w:rsid w:val="00FB440C"/>
    <w:rsid w:val="00FB48E6"/>
    <w:rsid w:val="00FB5EBD"/>
    <w:rsid w:val="00FB66B3"/>
    <w:rsid w:val="00FB78EC"/>
    <w:rsid w:val="00FB7938"/>
    <w:rsid w:val="00FB7E3C"/>
    <w:rsid w:val="00FC038A"/>
    <w:rsid w:val="00FC0B3A"/>
    <w:rsid w:val="00FC0B56"/>
    <w:rsid w:val="00FC0E65"/>
    <w:rsid w:val="00FC1D4E"/>
    <w:rsid w:val="00FC2127"/>
    <w:rsid w:val="00FC2493"/>
    <w:rsid w:val="00FC2F4C"/>
    <w:rsid w:val="00FC33BD"/>
    <w:rsid w:val="00FC37D2"/>
    <w:rsid w:val="00FC3B00"/>
    <w:rsid w:val="00FC3C36"/>
    <w:rsid w:val="00FC3F3C"/>
    <w:rsid w:val="00FC416B"/>
    <w:rsid w:val="00FC48ED"/>
    <w:rsid w:val="00FC4A2D"/>
    <w:rsid w:val="00FC53DD"/>
    <w:rsid w:val="00FC5E77"/>
    <w:rsid w:val="00FC5F6A"/>
    <w:rsid w:val="00FC61A8"/>
    <w:rsid w:val="00FC6721"/>
    <w:rsid w:val="00FC6766"/>
    <w:rsid w:val="00FC68F5"/>
    <w:rsid w:val="00FC6D79"/>
    <w:rsid w:val="00FC793B"/>
    <w:rsid w:val="00FD103F"/>
    <w:rsid w:val="00FD1C53"/>
    <w:rsid w:val="00FD1F24"/>
    <w:rsid w:val="00FD2202"/>
    <w:rsid w:val="00FD2230"/>
    <w:rsid w:val="00FD226F"/>
    <w:rsid w:val="00FD3430"/>
    <w:rsid w:val="00FD38C4"/>
    <w:rsid w:val="00FD39EC"/>
    <w:rsid w:val="00FD3E7D"/>
    <w:rsid w:val="00FD3FD7"/>
    <w:rsid w:val="00FD41AB"/>
    <w:rsid w:val="00FD4338"/>
    <w:rsid w:val="00FD44B1"/>
    <w:rsid w:val="00FD49F6"/>
    <w:rsid w:val="00FD5897"/>
    <w:rsid w:val="00FD6845"/>
    <w:rsid w:val="00FD79AE"/>
    <w:rsid w:val="00FD79EE"/>
    <w:rsid w:val="00FE0F7A"/>
    <w:rsid w:val="00FE10D1"/>
    <w:rsid w:val="00FE1409"/>
    <w:rsid w:val="00FE155A"/>
    <w:rsid w:val="00FE1BB2"/>
    <w:rsid w:val="00FE1D49"/>
    <w:rsid w:val="00FE21EF"/>
    <w:rsid w:val="00FE2851"/>
    <w:rsid w:val="00FE3123"/>
    <w:rsid w:val="00FE33C1"/>
    <w:rsid w:val="00FE347A"/>
    <w:rsid w:val="00FE37E7"/>
    <w:rsid w:val="00FE3EB3"/>
    <w:rsid w:val="00FE3F84"/>
    <w:rsid w:val="00FE4540"/>
    <w:rsid w:val="00FE4A95"/>
    <w:rsid w:val="00FE4E61"/>
    <w:rsid w:val="00FE501B"/>
    <w:rsid w:val="00FE5083"/>
    <w:rsid w:val="00FE53DC"/>
    <w:rsid w:val="00FE564D"/>
    <w:rsid w:val="00FE6F10"/>
    <w:rsid w:val="00FE72B5"/>
    <w:rsid w:val="00FE768F"/>
    <w:rsid w:val="00FE7769"/>
    <w:rsid w:val="00FE7B1A"/>
    <w:rsid w:val="00FE7BF6"/>
    <w:rsid w:val="00FF0140"/>
    <w:rsid w:val="00FF0275"/>
    <w:rsid w:val="00FF0D5D"/>
    <w:rsid w:val="00FF0FAA"/>
    <w:rsid w:val="00FF10B8"/>
    <w:rsid w:val="00FF1C4A"/>
    <w:rsid w:val="00FF1DE5"/>
    <w:rsid w:val="00FF212C"/>
    <w:rsid w:val="00FF21D8"/>
    <w:rsid w:val="00FF41E1"/>
    <w:rsid w:val="00FF455B"/>
    <w:rsid w:val="00FF4B35"/>
    <w:rsid w:val="00FF598A"/>
    <w:rsid w:val="00FF5EAB"/>
    <w:rsid w:val="00FF6CA1"/>
    <w:rsid w:val="00FF6E97"/>
    <w:rsid w:val="00FF6E9B"/>
    <w:rsid w:val="00FF6EBA"/>
    <w:rsid w:val="00FF79AD"/>
    <w:rsid w:val="00FF7B9D"/>
    <w:rsid w:val="00FF7BCE"/>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01AA3"/>
  <w15:chartTrackingRefBased/>
  <w15:docId w15:val="{A4E3DA7D-B180-DF4F-A982-C718BFAE9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5E5"/>
    <w:pPr>
      <w:spacing w:before="120" w:after="120"/>
      <w:jc w:val="both"/>
    </w:pPr>
  </w:style>
  <w:style w:type="paragraph" w:styleId="Heading1">
    <w:name w:val="heading 1"/>
    <w:basedOn w:val="Normal"/>
    <w:next w:val="Normal"/>
    <w:link w:val="Heading1Char"/>
    <w:autoRedefine/>
    <w:uiPriority w:val="9"/>
    <w:qFormat/>
    <w:rsid w:val="00141199"/>
    <w:pPr>
      <w:keepNext/>
      <w:keepLines/>
      <w:numPr>
        <w:numId w:val="11"/>
      </w:numPr>
      <w:spacing w:before="360"/>
      <w:jc w:val="right"/>
      <w:outlineLvl w:val="0"/>
    </w:pPr>
    <w:rPr>
      <w:rFonts w:asciiTheme="majorHAnsi" w:eastAsiaTheme="majorEastAsia" w:hAnsiTheme="majorHAnsi" w:cstheme="majorBidi"/>
      <w:color w:val="000000" w:themeColor="text1"/>
      <w:sz w:val="88"/>
      <w:szCs w:val="32"/>
      <w:lang w:val="en-US"/>
    </w:rPr>
  </w:style>
  <w:style w:type="paragraph" w:styleId="Heading2">
    <w:name w:val="heading 2"/>
    <w:basedOn w:val="Heading1"/>
    <w:next w:val="Normal"/>
    <w:link w:val="Heading2Char"/>
    <w:autoRedefine/>
    <w:uiPriority w:val="9"/>
    <w:unhideWhenUsed/>
    <w:qFormat/>
    <w:rsid w:val="00891192"/>
    <w:pPr>
      <w:numPr>
        <w:ilvl w:val="1"/>
      </w:numPr>
      <w:spacing w:before="160"/>
      <w:ind w:left="720"/>
      <w:jc w:val="left"/>
      <w:outlineLvl w:val="1"/>
    </w:pPr>
    <w:rPr>
      <w:sz w:val="32"/>
      <w:szCs w:val="26"/>
    </w:rPr>
  </w:style>
  <w:style w:type="paragraph" w:styleId="Heading3">
    <w:name w:val="heading 3"/>
    <w:basedOn w:val="Heading2"/>
    <w:next w:val="Normal"/>
    <w:link w:val="Heading3Char"/>
    <w:uiPriority w:val="9"/>
    <w:unhideWhenUsed/>
    <w:qFormat/>
    <w:rsid w:val="00B34696"/>
    <w:pPr>
      <w:numPr>
        <w:ilvl w:val="2"/>
      </w:numPr>
      <w:outlineLvl w:val="2"/>
    </w:pPr>
    <w:rPr>
      <w:sz w:val="28"/>
    </w:rPr>
  </w:style>
  <w:style w:type="paragraph" w:styleId="Heading4">
    <w:name w:val="heading 4"/>
    <w:basedOn w:val="Normal"/>
    <w:next w:val="Normal"/>
    <w:link w:val="Heading4Char"/>
    <w:uiPriority w:val="9"/>
    <w:unhideWhenUsed/>
    <w:qFormat/>
    <w:rsid w:val="00255529"/>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199"/>
    <w:rPr>
      <w:rFonts w:asciiTheme="majorHAnsi" w:eastAsiaTheme="majorEastAsia" w:hAnsiTheme="majorHAnsi" w:cstheme="majorBidi"/>
      <w:color w:val="000000" w:themeColor="text1"/>
      <w:sz w:val="88"/>
      <w:szCs w:val="32"/>
      <w:lang w:val="en-US"/>
    </w:rPr>
  </w:style>
  <w:style w:type="paragraph" w:styleId="TOCHeading">
    <w:name w:val="TOC Heading"/>
    <w:basedOn w:val="Heading1"/>
    <w:next w:val="Normal"/>
    <w:uiPriority w:val="39"/>
    <w:unhideWhenUsed/>
    <w:qFormat/>
    <w:rsid w:val="002A704F"/>
    <w:pPr>
      <w:spacing w:before="0" w:after="0" w:line="276" w:lineRule="auto"/>
      <w:outlineLvl w:val="9"/>
    </w:pPr>
    <w:rPr>
      <w:bCs/>
      <w:kern w:val="0"/>
      <w:sz w:val="56"/>
      <w:szCs w:val="28"/>
      <w14:ligatures w14:val="none"/>
    </w:rPr>
  </w:style>
  <w:style w:type="paragraph" w:styleId="TOC1">
    <w:name w:val="toc 1"/>
    <w:basedOn w:val="Normal"/>
    <w:next w:val="Normal"/>
    <w:autoRedefine/>
    <w:uiPriority w:val="39"/>
    <w:unhideWhenUsed/>
    <w:rsid w:val="00502C92"/>
    <w:rPr>
      <w:rFonts w:cstheme="minorHAnsi"/>
      <w:b/>
      <w:bCs/>
      <w:i/>
      <w:iCs/>
    </w:rPr>
  </w:style>
  <w:style w:type="paragraph" w:styleId="TOC2">
    <w:name w:val="toc 2"/>
    <w:basedOn w:val="Normal"/>
    <w:next w:val="Normal"/>
    <w:autoRedefine/>
    <w:uiPriority w:val="39"/>
    <w:unhideWhenUsed/>
    <w:rsid w:val="00502C92"/>
    <w:pPr>
      <w:ind w:left="240"/>
    </w:pPr>
    <w:rPr>
      <w:rFonts w:cstheme="minorHAnsi"/>
      <w:b/>
      <w:bCs/>
      <w:sz w:val="22"/>
      <w:szCs w:val="22"/>
    </w:rPr>
  </w:style>
  <w:style w:type="paragraph" w:styleId="TOC3">
    <w:name w:val="toc 3"/>
    <w:basedOn w:val="Normal"/>
    <w:next w:val="Normal"/>
    <w:autoRedefine/>
    <w:uiPriority w:val="39"/>
    <w:unhideWhenUsed/>
    <w:rsid w:val="00502C92"/>
    <w:pPr>
      <w:ind w:left="480"/>
    </w:pPr>
    <w:rPr>
      <w:rFonts w:cstheme="minorHAnsi"/>
      <w:sz w:val="20"/>
      <w:szCs w:val="20"/>
    </w:rPr>
  </w:style>
  <w:style w:type="paragraph" w:styleId="TOC4">
    <w:name w:val="toc 4"/>
    <w:basedOn w:val="Normal"/>
    <w:next w:val="Normal"/>
    <w:autoRedefine/>
    <w:uiPriority w:val="39"/>
    <w:semiHidden/>
    <w:unhideWhenUsed/>
    <w:rsid w:val="00502C92"/>
    <w:pPr>
      <w:ind w:left="720"/>
    </w:pPr>
    <w:rPr>
      <w:rFonts w:cstheme="minorHAnsi"/>
      <w:sz w:val="20"/>
      <w:szCs w:val="20"/>
    </w:rPr>
  </w:style>
  <w:style w:type="paragraph" w:styleId="TOC5">
    <w:name w:val="toc 5"/>
    <w:basedOn w:val="Normal"/>
    <w:next w:val="Normal"/>
    <w:autoRedefine/>
    <w:uiPriority w:val="39"/>
    <w:semiHidden/>
    <w:unhideWhenUsed/>
    <w:rsid w:val="00502C92"/>
    <w:pPr>
      <w:ind w:left="960"/>
    </w:pPr>
    <w:rPr>
      <w:rFonts w:cstheme="minorHAnsi"/>
      <w:sz w:val="20"/>
      <w:szCs w:val="20"/>
    </w:rPr>
  </w:style>
  <w:style w:type="paragraph" w:styleId="TOC6">
    <w:name w:val="toc 6"/>
    <w:basedOn w:val="Normal"/>
    <w:next w:val="Normal"/>
    <w:autoRedefine/>
    <w:uiPriority w:val="39"/>
    <w:semiHidden/>
    <w:unhideWhenUsed/>
    <w:rsid w:val="00502C92"/>
    <w:pPr>
      <w:ind w:left="1200"/>
    </w:pPr>
    <w:rPr>
      <w:rFonts w:cstheme="minorHAnsi"/>
      <w:sz w:val="20"/>
      <w:szCs w:val="20"/>
    </w:rPr>
  </w:style>
  <w:style w:type="paragraph" w:styleId="TOC7">
    <w:name w:val="toc 7"/>
    <w:basedOn w:val="Normal"/>
    <w:next w:val="Normal"/>
    <w:autoRedefine/>
    <w:uiPriority w:val="39"/>
    <w:semiHidden/>
    <w:unhideWhenUsed/>
    <w:rsid w:val="00502C92"/>
    <w:pPr>
      <w:ind w:left="1440"/>
    </w:pPr>
    <w:rPr>
      <w:rFonts w:cstheme="minorHAnsi"/>
      <w:sz w:val="20"/>
      <w:szCs w:val="20"/>
    </w:rPr>
  </w:style>
  <w:style w:type="paragraph" w:styleId="TOC8">
    <w:name w:val="toc 8"/>
    <w:basedOn w:val="Normal"/>
    <w:next w:val="Normal"/>
    <w:autoRedefine/>
    <w:uiPriority w:val="39"/>
    <w:semiHidden/>
    <w:unhideWhenUsed/>
    <w:rsid w:val="00502C92"/>
    <w:pPr>
      <w:ind w:left="1680"/>
    </w:pPr>
    <w:rPr>
      <w:rFonts w:cstheme="minorHAnsi"/>
      <w:sz w:val="20"/>
      <w:szCs w:val="20"/>
    </w:rPr>
  </w:style>
  <w:style w:type="paragraph" w:styleId="TOC9">
    <w:name w:val="toc 9"/>
    <w:basedOn w:val="Normal"/>
    <w:next w:val="Normal"/>
    <w:autoRedefine/>
    <w:uiPriority w:val="39"/>
    <w:semiHidden/>
    <w:unhideWhenUsed/>
    <w:rsid w:val="00502C92"/>
    <w:pPr>
      <w:ind w:left="1920"/>
    </w:pPr>
    <w:rPr>
      <w:rFonts w:cstheme="minorHAnsi"/>
      <w:sz w:val="20"/>
      <w:szCs w:val="20"/>
    </w:rPr>
  </w:style>
  <w:style w:type="paragraph" w:styleId="Title">
    <w:name w:val="Title"/>
    <w:basedOn w:val="Normal"/>
    <w:next w:val="Normal"/>
    <w:link w:val="TitleChar"/>
    <w:uiPriority w:val="10"/>
    <w:qFormat/>
    <w:rsid w:val="00502C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C9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02C92"/>
    <w:rPr>
      <w:color w:val="0563C1" w:themeColor="hyperlink"/>
      <w:u w:val="single"/>
    </w:rPr>
  </w:style>
  <w:style w:type="paragraph" w:styleId="NoSpacing">
    <w:name w:val="No Spacing"/>
    <w:link w:val="NoSpacingChar"/>
    <w:uiPriority w:val="1"/>
    <w:qFormat/>
    <w:rsid w:val="00502C92"/>
  </w:style>
  <w:style w:type="character" w:styleId="Emphasis">
    <w:name w:val="Emphasis"/>
    <w:basedOn w:val="DefaultParagraphFont"/>
    <w:uiPriority w:val="20"/>
    <w:qFormat/>
    <w:rsid w:val="00502C92"/>
    <w:rPr>
      <w:i/>
      <w:iCs/>
    </w:rPr>
  </w:style>
  <w:style w:type="character" w:styleId="Strong">
    <w:name w:val="Strong"/>
    <w:basedOn w:val="DefaultParagraphFont"/>
    <w:uiPriority w:val="22"/>
    <w:qFormat/>
    <w:rsid w:val="00502C92"/>
    <w:rPr>
      <w:b/>
      <w:bCs/>
    </w:rPr>
  </w:style>
  <w:style w:type="character" w:customStyle="1" w:styleId="Heading2Char">
    <w:name w:val="Heading 2 Char"/>
    <w:basedOn w:val="DefaultParagraphFont"/>
    <w:link w:val="Heading2"/>
    <w:uiPriority w:val="9"/>
    <w:rsid w:val="00891192"/>
    <w:rPr>
      <w:rFonts w:asciiTheme="majorHAnsi" w:eastAsiaTheme="majorEastAsia" w:hAnsiTheme="majorHAnsi" w:cstheme="majorBidi"/>
      <w:color w:val="000000" w:themeColor="text1"/>
      <w:sz w:val="32"/>
      <w:szCs w:val="26"/>
      <w:lang w:val="en-US"/>
    </w:rPr>
  </w:style>
  <w:style w:type="paragraph" w:styleId="ListParagraph">
    <w:name w:val="List Paragraph"/>
    <w:basedOn w:val="Normal"/>
    <w:uiPriority w:val="34"/>
    <w:qFormat/>
    <w:rsid w:val="00502C92"/>
    <w:pPr>
      <w:ind w:left="720"/>
      <w:contextualSpacing/>
    </w:pPr>
  </w:style>
  <w:style w:type="character" w:customStyle="1" w:styleId="Heading3Char">
    <w:name w:val="Heading 3 Char"/>
    <w:basedOn w:val="DefaultParagraphFont"/>
    <w:link w:val="Heading3"/>
    <w:uiPriority w:val="9"/>
    <w:rsid w:val="00B34696"/>
    <w:rPr>
      <w:rFonts w:asciiTheme="majorHAnsi" w:eastAsiaTheme="majorEastAsia" w:hAnsiTheme="majorHAnsi" w:cstheme="majorBidi"/>
      <w:color w:val="000000" w:themeColor="text1"/>
      <w:sz w:val="28"/>
      <w:szCs w:val="26"/>
      <w:lang w:val="en-US"/>
    </w:rPr>
  </w:style>
  <w:style w:type="numbering" w:customStyle="1" w:styleId="CurrentList1">
    <w:name w:val="Current List1"/>
    <w:uiPriority w:val="99"/>
    <w:rsid w:val="00502C92"/>
    <w:pPr>
      <w:numPr>
        <w:numId w:val="1"/>
      </w:numPr>
    </w:pPr>
  </w:style>
  <w:style w:type="numbering" w:customStyle="1" w:styleId="CurrentList2">
    <w:name w:val="Current List2"/>
    <w:uiPriority w:val="99"/>
    <w:rsid w:val="00502C92"/>
    <w:pPr>
      <w:numPr>
        <w:numId w:val="2"/>
      </w:numPr>
    </w:pPr>
  </w:style>
  <w:style w:type="numbering" w:customStyle="1" w:styleId="CurrentList3">
    <w:name w:val="Current List3"/>
    <w:uiPriority w:val="99"/>
    <w:rsid w:val="00502C92"/>
    <w:pPr>
      <w:numPr>
        <w:numId w:val="3"/>
      </w:numPr>
    </w:pPr>
  </w:style>
  <w:style w:type="numbering" w:customStyle="1" w:styleId="CurrentList4">
    <w:name w:val="Current List4"/>
    <w:uiPriority w:val="99"/>
    <w:rsid w:val="00502C92"/>
    <w:pPr>
      <w:numPr>
        <w:numId w:val="4"/>
      </w:numPr>
    </w:pPr>
  </w:style>
  <w:style w:type="numbering" w:customStyle="1" w:styleId="CurrentList5">
    <w:name w:val="Current List5"/>
    <w:uiPriority w:val="99"/>
    <w:rsid w:val="00502C92"/>
    <w:pPr>
      <w:numPr>
        <w:numId w:val="5"/>
      </w:numPr>
    </w:pPr>
  </w:style>
  <w:style w:type="numbering" w:customStyle="1" w:styleId="CurrentList6">
    <w:name w:val="Current List6"/>
    <w:uiPriority w:val="99"/>
    <w:rsid w:val="00502C92"/>
    <w:pPr>
      <w:numPr>
        <w:numId w:val="6"/>
      </w:numPr>
    </w:pPr>
  </w:style>
  <w:style w:type="numbering" w:customStyle="1" w:styleId="CurrentList7">
    <w:name w:val="Current List7"/>
    <w:uiPriority w:val="99"/>
    <w:rsid w:val="00502C92"/>
    <w:pPr>
      <w:numPr>
        <w:numId w:val="7"/>
      </w:numPr>
    </w:pPr>
  </w:style>
  <w:style w:type="numbering" w:customStyle="1" w:styleId="CurrentList8">
    <w:name w:val="Current List8"/>
    <w:uiPriority w:val="99"/>
    <w:rsid w:val="00502C92"/>
    <w:pPr>
      <w:numPr>
        <w:numId w:val="8"/>
      </w:numPr>
    </w:pPr>
  </w:style>
  <w:style w:type="numbering" w:customStyle="1" w:styleId="CurrentList9">
    <w:name w:val="Current List9"/>
    <w:uiPriority w:val="99"/>
    <w:rsid w:val="00502C92"/>
    <w:pPr>
      <w:numPr>
        <w:numId w:val="9"/>
      </w:numPr>
    </w:pPr>
  </w:style>
  <w:style w:type="numbering" w:customStyle="1" w:styleId="CurrentList10">
    <w:name w:val="Current List10"/>
    <w:uiPriority w:val="99"/>
    <w:rsid w:val="00502C92"/>
    <w:pPr>
      <w:numPr>
        <w:numId w:val="10"/>
      </w:numPr>
    </w:pPr>
  </w:style>
  <w:style w:type="character" w:customStyle="1" w:styleId="url">
    <w:name w:val="url"/>
    <w:basedOn w:val="DefaultParagraphFont"/>
    <w:rsid w:val="00502C92"/>
  </w:style>
  <w:style w:type="character" w:styleId="UnresolvedMention">
    <w:name w:val="Unresolved Mention"/>
    <w:basedOn w:val="DefaultParagraphFont"/>
    <w:uiPriority w:val="99"/>
    <w:semiHidden/>
    <w:unhideWhenUsed/>
    <w:rsid w:val="00502C92"/>
    <w:rPr>
      <w:color w:val="605E5C"/>
      <w:shd w:val="clear" w:color="auto" w:fill="E1DFDD"/>
    </w:rPr>
  </w:style>
  <w:style w:type="paragraph" w:styleId="Subtitle">
    <w:name w:val="Subtitle"/>
    <w:basedOn w:val="Normal"/>
    <w:next w:val="Normal"/>
    <w:link w:val="SubtitleChar"/>
    <w:uiPriority w:val="11"/>
    <w:qFormat/>
    <w:rsid w:val="00D26B8C"/>
    <w:pPr>
      <w:numPr>
        <w:ilvl w:val="1"/>
      </w:numPr>
      <w:spacing w:before="0" w:after="160"/>
    </w:pPr>
    <w:rPr>
      <w:rFonts w:eastAsiaTheme="majorEastAsia" w:cstheme="majorBidi"/>
      <w:color w:val="595959" w:themeColor="text1" w:themeTint="A6"/>
      <w:spacing w:val="15"/>
      <w:sz w:val="28"/>
      <w:szCs w:val="28"/>
    </w:rPr>
  </w:style>
  <w:style w:type="character" w:styleId="FollowedHyperlink">
    <w:name w:val="FollowedHyperlink"/>
    <w:basedOn w:val="DefaultParagraphFont"/>
    <w:uiPriority w:val="99"/>
    <w:semiHidden/>
    <w:unhideWhenUsed/>
    <w:rsid w:val="00502C92"/>
    <w:rPr>
      <w:color w:val="954F72" w:themeColor="followedHyperlink"/>
      <w:u w:val="single"/>
    </w:rPr>
  </w:style>
  <w:style w:type="paragraph" w:styleId="NormalWeb">
    <w:name w:val="Normal (Web)"/>
    <w:basedOn w:val="Normal"/>
    <w:uiPriority w:val="99"/>
    <w:semiHidden/>
    <w:unhideWhenUsed/>
    <w:rsid w:val="002A704F"/>
    <w:rPr>
      <w:rFonts w:ascii="Times New Roman" w:hAnsi="Times New Roman" w:cs="Times New Roman"/>
    </w:rPr>
  </w:style>
  <w:style w:type="paragraph" w:styleId="TableofFigures">
    <w:name w:val="table of figures"/>
    <w:basedOn w:val="Normal"/>
    <w:next w:val="Normal"/>
    <w:autoRedefine/>
    <w:uiPriority w:val="99"/>
    <w:unhideWhenUsed/>
    <w:rsid w:val="002A704F"/>
    <w:pPr>
      <w:spacing w:after="0"/>
    </w:pPr>
  </w:style>
  <w:style w:type="paragraph" w:styleId="Caption">
    <w:name w:val="caption"/>
    <w:basedOn w:val="Normal"/>
    <w:next w:val="Normal"/>
    <w:uiPriority w:val="35"/>
    <w:unhideWhenUsed/>
    <w:qFormat/>
    <w:rsid w:val="00D3102B"/>
    <w:pPr>
      <w:spacing w:before="0" w:after="200"/>
      <w:jc w:val="center"/>
    </w:pPr>
    <w:rPr>
      <w:i/>
      <w:iCs/>
      <w:color w:val="000000" w:themeColor="text1"/>
      <w:sz w:val="20"/>
      <w:szCs w:val="18"/>
    </w:rPr>
  </w:style>
  <w:style w:type="character" w:styleId="SmartLink">
    <w:name w:val="Smart Link"/>
    <w:basedOn w:val="DefaultParagraphFont"/>
    <w:uiPriority w:val="99"/>
    <w:unhideWhenUsed/>
    <w:rsid w:val="002A704F"/>
    <w:rPr>
      <w:color w:val="0000FF"/>
      <w:u w:val="single"/>
      <w:shd w:val="clear" w:color="auto" w:fill="F3F2F1"/>
    </w:rPr>
  </w:style>
  <w:style w:type="table" w:styleId="TableGrid">
    <w:name w:val="Table Grid"/>
    <w:basedOn w:val="TableNormal"/>
    <w:uiPriority w:val="39"/>
    <w:rsid w:val="00620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0F63"/>
    <w:rPr>
      <w:sz w:val="16"/>
      <w:szCs w:val="16"/>
    </w:rPr>
  </w:style>
  <w:style w:type="paragraph" w:styleId="CommentText">
    <w:name w:val="annotation text"/>
    <w:basedOn w:val="Normal"/>
    <w:link w:val="CommentTextChar"/>
    <w:uiPriority w:val="99"/>
    <w:semiHidden/>
    <w:unhideWhenUsed/>
    <w:rsid w:val="00E60F63"/>
    <w:rPr>
      <w:sz w:val="20"/>
      <w:szCs w:val="20"/>
    </w:rPr>
  </w:style>
  <w:style w:type="character" w:customStyle="1" w:styleId="CommentTextChar">
    <w:name w:val="Comment Text Char"/>
    <w:basedOn w:val="DefaultParagraphFont"/>
    <w:link w:val="CommentText"/>
    <w:uiPriority w:val="99"/>
    <w:semiHidden/>
    <w:rsid w:val="00E60F63"/>
    <w:rPr>
      <w:sz w:val="20"/>
      <w:szCs w:val="20"/>
    </w:rPr>
  </w:style>
  <w:style w:type="paragraph" w:styleId="CommentSubject">
    <w:name w:val="annotation subject"/>
    <w:basedOn w:val="CommentText"/>
    <w:next w:val="CommentText"/>
    <w:link w:val="CommentSubjectChar"/>
    <w:uiPriority w:val="99"/>
    <w:semiHidden/>
    <w:unhideWhenUsed/>
    <w:rsid w:val="00E60F63"/>
    <w:rPr>
      <w:b/>
      <w:bCs/>
    </w:rPr>
  </w:style>
  <w:style w:type="character" w:customStyle="1" w:styleId="CommentSubjectChar">
    <w:name w:val="Comment Subject Char"/>
    <w:basedOn w:val="CommentTextChar"/>
    <w:link w:val="CommentSubject"/>
    <w:uiPriority w:val="99"/>
    <w:semiHidden/>
    <w:rsid w:val="00E60F63"/>
    <w:rPr>
      <w:b/>
      <w:bCs/>
      <w:sz w:val="20"/>
      <w:szCs w:val="20"/>
    </w:rPr>
  </w:style>
  <w:style w:type="paragraph" w:styleId="Header">
    <w:name w:val="header"/>
    <w:basedOn w:val="Normal"/>
    <w:link w:val="HeaderChar"/>
    <w:uiPriority w:val="99"/>
    <w:unhideWhenUsed/>
    <w:rsid w:val="00971748"/>
    <w:pPr>
      <w:tabs>
        <w:tab w:val="center" w:pos="4513"/>
        <w:tab w:val="right" w:pos="9026"/>
      </w:tabs>
      <w:spacing w:before="0" w:after="0"/>
    </w:pPr>
  </w:style>
  <w:style w:type="character" w:customStyle="1" w:styleId="HeaderChar">
    <w:name w:val="Header Char"/>
    <w:basedOn w:val="DefaultParagraphFont"/>
    <w:link w:val="Header"/>
    <w:uiPriority w:val="99"/>
    <w:rsid w:val="00971748"/>
  </w:style>
  <w:style w:type="paragraph" w:styleId="Footer">
    <w:name w:val="footer"/>
    <w:basedOn w:val="Normal"/>
    <w:link w:val="FooterChar"/>
    <w:uiPriority w:val="99"/>
    <w:unhideWhenUsed/>
    <w:rsid w:val="00971748"/>
    <w:pPr>
      <w:tabs>
        <w:tab w:val="center" w:pos="4513"/>
        <w:tab w:val="right" w:pos="9026"/>
      </w:tabs>
      <w:spacing w:before="0" w:after="0"/>
    </w:pPr>
  </w:style>
  <w:style w:type="character" w:customStyle="1" w:styleId="FooterChar">
    <w:name w:val="Footer Char"/>
    <w:basedOn w:val="DefaultParagraphFont"/>
    <w:link w:val="Footer"/>
    <w:uiPriority w:val="99"/>
    <w:rsid w:val="00971748"/>
  </w:style>
  <w:style w:type="character" w:customStyle="1" w:styleId="Heading4Char">
    <w:name w:val="Heading 4 Char"/>
    <w:basedOn w:val="DefaultParagraphFont"/>
    <w:link w:val="Heading4"/>
    <w:uiPriority w:val="9"/>
    <w:rsid w:val="00255529"/>
    <w:rPr>
      <w:rFonts w:asciiTheme="majorHAnsi" w:eastAsiaTheme="majorEastAsia" w:hAnsiTheme="majorHAnsi" w:cstheme="majorBidi"/>
      <w:i/>
      <w:iCs/>
      <w:color w:val="000000" w:themeColor="text1"/>
    </w:rPr>
  </w:style>
  <w:style w:type="paragraph" w:customStyle="1" w:styleId="Style1">
    <w:name w:val="Style1"/>
    <w:basedOn w:val="Heading2"/>
    <w:rsid w:val="006C19A6"/>
  </w:style>
  <w:style w:type="paragraph" w:customStyle="1" w:styleId="111Heading3">
    <w:name w:val="1.1.1. Heading 3"/>
    <w:basedOn w:val="Normal"/>
    <w:rsid w:val="001D0C0E"/>
    <w:pPr>
      <w:jc w:val="left"/>
    </w:pPr>
    <w:rPr>
      <w:rFonts w:asciiTheme="majorHAnsi" w:hAnsiTheme="majorHAnsi"/>
    </w:rPr>
  </w:style>
  <w:style w:type="paragraph" w:customStyle="1" w:styleId="xxx">
    <w:name w:val="xxx"/>
    <w:basedOn w:val="Heading2"/>
    <w:next w:val="Normal"/>
    <w:rsid w:val="001D0C0E"/>
  </w:style>
  <w:style w:type="character" w:customStyle="1" w:styleId="SubtitleChar">
    <w:name w:val="Subtitle Char"/>
    <w:basedOn w:val="DefaultParagraphFont"/>
    <w:link w:val="Subtitle"/>
    <w:uiPriority w:val="11"/>
    <w:rsid w:val="00D26B8C"/>
    <w:rPr>
      <w:rFonts w:eastAsiaTheme="majorEastAsia" w:cstheme="majorBidi"/>
      <w:color w:val="595959" w:themeColor="text1" w:themeTint="A6"/>
      <w:spacing w:val="15"/>
      <w:sz w:val="28"/>
      <w:szCs w:val="28"/>
    </w:rPr>
  </w:style>
  <w:style w:type="character" w:styleId="PlaceholderText">
    <w:name w:val="Placeholder Text"/>
    <w:basedOn w:val="DefaultParagraphFont"/>
    <w:uiPriority w:val="99"/>
    <w:semiHidden/>
    <w:rsid w:val="00CD4757"/>
    <w:rPr>
      <w:color w:val="666666"/>
    </w:rPr>
  </w:style>
  <w:style w:type="character" w:customStyle="1" w:styleId="mord">
    <w:name w:val="mord"/>
    <w:basedOn w:val="DefaultParagraphFont"/>
    <w:rsid w:val="00ED3110"/>
  </w:style>
  <w:style w:type="character" w:customStyle="1" w:styleId="mopen">
    <w:name w:val="mopen"/>
    <w:basedOn w:val="DefaultParagraphFont"/>
    <w:rsid w:val="00ED3110"/>
  </w:style>
  <w:style w:type="character" w:customStyle="1" w:styleId="mclose">
    <w:name w:val="mclose"/>
    <w:basedOn w:val="DefaultParagraphFont"/>
    <w:rsid w:val="00ED3110"/>
  </w:style>
  <w:style w:type="character" w:customStyle="1" w:styleId="mrel">
    <w:name w:val="mrel"/>
    <w:basedOn w:val="DefaultParagraphFont"/>
    <w:rsid w:val="00ED3110"/>
  </w:style>
  <w:style w:type="character" w:customStyle="1" w:styleId="vlist-s">
    <w:name w:val="vlist-s"/>
    <w:basedOn w:val="DefaultParagraphFont"/>
    <w:rsid w:val="00ED3110"/>
  </w:style>
  <w:style w:type="character" w:customStyle="1" w:styleId="delimsizing">
    <w:name w:val="delimsizing"/>
    <w:basedOn w:val="DefaultParagraphFont"/>
    <w:rsid w:val="00ED3110"/>
  </w:style>
  <w:style w:type="character" w:customStyle="1" w:styleId="mbin">
    <w:name w:val="mbin"/>
    <w:basedOn w:val="DefaultParagraphFont"/>
    <w:rsid w:val="00ED3110"/>
  </w:style>
  <w:style w:type="character" w:customStyle="1" w:styleId="mop">
    <w:name w:val="mop"/>
    <w:basedOn w:val="DefaultParagraphFont"/>
    <w:rsid w:val="00ED3110"/>
  </w:style>
  <w:style w:type="character" w:customStyle="1" w:styleId="anchor-text">
    <w:name w:val="anchor-text"/>
    <w:basedOn w:val="DefaultParagraphFont"/>
    <w:rsid w:val="005A79D3"/>
  </w:style>
  <w:style w:type="paragraph" w:styleId="Revision">
    <w:name w:val="Revision"/>
    <w:hidden/>
    <w:uiPriority w:val="99"/>
    <w:semiHidden/>
    <w:rsid w:val="00FD79AE"/>
  </w:style>
  <w:style w:type="character" w:customStyle="1" w:styleId="NoSpacingChar">
    <w:name w:val="No Spacing Char"/>
    <w:basedOn w:val="DefaultParagraphFont"/>
    <w:link w:val="NoSpacing"/>
    <w:uiPriority w:val="1"/>
    <w:rsid w:val="00182B55"/>
  </w:style>
  <w:style w:type="character" w:styleId="PageNumber">
    <w:name w:val="page number"/>
    <w:basedOn w:val="DefaultParagraphFont"/>
    <w:uiPriority w:val="99"/>
    <w:semiHidden/>
    <w:unhideWhenUsed/>
    <w:rsid w:val="00A63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9972">
      <w:bodyDiv w:val="1"/>
      <w:marLeft w:val="0"/>
      <w:marRight w:val="0"/>
      <w:marTop w:val="0"/>
      <w:marBottom w:val="0"/>
      <w:divBdr>
        <w:top w:val="none" w:sz="0" w:space="0" w:color="auto"/>
        <w:left w:val="none" w:sz="0" w:space="0" w:color="auto"/>
        <w:bottom w:val="none" w:sz="0" w:space="0" w:color="auto"/>
        <w:right w:val="none" w:sz="0" w:space="0" w:color="auto"/>
      </w:divBdr>
      <w:divsChild>
        <w:div w:id="1442653377">
          <w:marLeft w:val="0"/>
          <w:marRight w:val="0"/>
          <w:marTop w:val="0"/>
          <w:marBottom w:val="0"/>
          <w:divBdr>
            <w:top w:val="none" w:sz="0" w:space="0" w:color="auto"/>
            <w:left w:val="none" w:sz="0" w:space="0" w:color="auto"/>
            <w:bottom w:val="none" w:sz="0" w:space="0" w:color="auto"/>
            <w:right w:val="none" w:sz="0" w:space="0" w:color="auto"/>
          </w:divBdr>
        </w:div>
      </w:divsChild>
    </w:div>
    <w:div w:id="14161672">
      <w:bodyDiv w:val="1"/>
      <w:marLeft w:val="0"/>
      <w:marRight w:val="0"/>
      <w:marTop w:val="0"/>
      <w:marBottom w:val="0"/>
      <w:divBdr>
        <w:top w:val="none" w:sz="0" w:space="0" w:color="auto"/>
        <w:left w:val="none" w:sz="0" w:space="0" w:color="auto"/>
        <w:bottom w:val="none" w:sz="0" w:space="0" w:color="auto"/>
        <w:right w:val="none" w:sz="0" w:space="0" w:color="auto"/>
      </w:divBdr>
      <w:divsChild>
        <w:div w:id="1621492689">
          <w:marLeft w:val="-720"/>
          <w:marRight w:val="0"/>
          <w:marTop w:val="0"/>
          <w:marBottom w:val="0"/>
          <w:divBdr>
            <w:top w:val="none" w:sz="0" w:space="0" w:color="auto"/>
            <w:left w:val="none" w:sz="0" w:space="0" w:color="auto"/>
            <w:bottom w:val="none" w:sz="0" w:space="0" w:color="auto"/>
            <w:right w:val="none" w:sz="0" w:space="0" w:color="auto"/>
          </w:divBdr>
        </w:div>
      </w:divsChild>
    </w:div>
    <w:div w:id="36785184">
      <w:bodyDiv w:val="1"/>
      <w:marLeft w:val="0"/>
      <w:marRight w:val="0"/>
      <w:marTop w:val="0"/>
      <w:marBottom w:val="0"/>
      <w:divBdr>
        <w:top w:val="none" w:sz="0" w:space="0" w:color="auto"/>
        <w:left w:val="none" w:sz="0" w:space="0" w:color="auto"/>
        <w:bottom w:val="none" w:sz="0" w:space="0" w:color="auto"/>
        <w:right w:val="none" w:sz="0" w:space="0" w:color="auto"/>
      </w:divBdr>
      <w:divsChild>
        <w:div w:id="337779113">
          <w:marLeft w:val="0"/>
          <w:marRight w:val="0"/>
          <w:marTop w:val="0"/>
          <w:marBottom w:val="0"/>
          <w:divBdr>
            <w:top w:val="none" w:sz="0" w:space="0" w:color="auto"/>
            <w:left w:val="none" w:sz="0" w:space="0" w:color="auto"/>
            <w:bottom w:val="none" w:sz="0" w:space="0" w:color="auto"/>
            <w:right w:val="none" w:sz="0" w:space="0" w:color="auto"/>
          </w:divBdr>
          <w:divsChild>
            <w:div w:id="578372056">
              <w:marLeft w:val="0"/>
              <w:marRight w:val="0"/>
              <w:marTop w:val="0"/>
              <w:marBottom w:val="0"/>
              <w:divBdr>
                <w:top w:val="none" w:sz="0" w:space="0" w:color="auto"/>
                <w:left w:val="none" w:sz="0" w:space="0" w:color="auto"/>
                <w:bottom w:val="none" w:sz="0" w:space="0" w:color="auto"/>
                <w:right w:val="none" w:sz="0" w:space="0" w:color="auto"/>
              </w:divBdr>
              <w:divsChild>
                <w:div w:id="87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9486">
      <w:bodyDiv w:val="1"/>
      <w:marLeft w:val="0"/>
      <w:marRight w:val="0"/>
      <w:marTop w:val="0"/>
      <w:marBottom w:val="0"/>
      <w:divBdr>
        <w:top w:val="none" w:sz="0" w:space="0" w:color="auto"/>
        <w:left w:val="none" w:sz="0" w:space="0" w:color="auto"/>
        <w:bottom w:val="none" w:sz="0" w:space="0" w:color="auto"/>
        <w:right w:val="none" w:sz="0" w:space="0" w:color="auto"/>
      </w:divBdr>
    </w:div>
    <w:div w:id="64111206">
      <w:bodyDiv w:val="1"/>
      <w:marLeft w:val="0"/>
      <w:marRight w:val="0"/>
      <w:marTop w:val="0"/>
      <w:marBottom w:val="0"/>
      <w:divBdr>
        <w:top w:val="none" w:sz="0" w:space="0" w:color="auto"/>
        <w:left w:val="none" w:sz="0" w:space="0" w:color="auto"/>
        <w:bottom w:val="none" w:sz="0" w:space="0" w:color="auto"/>
        <w:right w:val="none" w:sz="0" w:space="0" w:color="auto"/>
      </w:divBdr>
      <w:divsChild>
        <w:div w:id="672223004">
          <w:marLeft w:val="0"/>
          <w:marRight w:val="0"/>
          <w:marTop w:val="0"/>
          <w:marBottom w:val="0"/>
          <w:divBdr>
            <w:top w:val="none" w:sz="0" w:space="0" w:color="auto"/>
            <w:left w:val="none" w:sz="0" w:space="0" w:color="auto"/>
            <w:bottom w:val="none" w:sz="0" w:space="0" w:color="auto"/>
            <w:right w:val="none" w:sz="0" w:space="0" w:color="auto"/>
          </w:divBdr>
          <w:divsChild>
            <w:div w:id="445661596">
              <w:marLeft w:val="0"/>
              <w:marRight w:val="0"/>
              <w:marTop w:val="0"/>
              <w:marBottom w:val="0"/>
              <w:divBdr>
                <w:top w:val="none" w:sz="0" w:space="0" w:color="auto"/>
                <w:left w:val="none" w:sz="0" w:space="0" w:color="auto"/>
                <w:bottom w:val="none" w:sz="0" w:space="0" w:color="auto"/>
                <w:right w:val="none" w:sz="0" w:space="0" w:color="auto"/>
              </w:divBdr>
              <w:divsChild>
                <w:div w:id="5164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2184">
      <w:bodyDiv w:val="1"/>
      <w:marLeft w:val="0"/>
      <w:marRight w:val="0"/>
      <w:marTop w:val="0"/>
      <w:marBottom w:val="0"/>
      <w:divBdr>
        <w:top w:val="none" w:sz="0" w:space="0" w:color="auto"/>
        <w:left w:val="none" w:sz="0" w:space="0" w:color="auto"/>
        <w:bottom w:val="none" w:sz="0" w:space="0" w:color="auto"/>
        <w:right w:val="none" w:sz="0" w:space="0" w:color="auto"/>
      </w:divBdr>
      <w:divsChild>
        <w:div w:id="1917275548">
          <w:marLeft w:val="0"/>
          <w:marRight w:val="0"/>
          <w:marTop w:val="0"/>
          <w:marBottom w:val="0"/>
          <w:divBdr>
            <w:top w:val="none" w:sz="0" w:space="0" w:color="auto"/>
            <w:left w:val="none" w:sz="0" w:space="0" w:color="auto"/>
            <w:bottom w:val="none" w:sz="0" w:space="0" w:color="auto"/>
            <w:right w:val="none" w:sz="0" w:space="0" w:color="auto"/>
          </w:divBdr>
          <w:divsChild>
            <w:div w:id="765619728">
              <w:marLeft w:val="0"/>
              <w:marRight w:val="0"/>
              <w:marTop w:val="0"/>
              <w:marBottom w:val="0"/>
              <w:divBdr>
                <w:top w:val="none" w:sz="0" w:space="0" w:color="auto"/>
                <w:left w:val="none" w:sz="0" w:space="0" w:color="auto"/>
                <w:bottom w:val="none" w:sz="0" w:space="0" w:color="auto"/>
                <w:right w:val="none" w:sz="0" w:space="0" w:color="auto"/>
              </w:divBdr>
              <w:divsChild>
                <w:div w:id="4461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9707">
      <w:bodyDiv w:val="1"/>
      <w:marLeft w:val="0"/>
      <w:marRight w:val="0"/>
      <w:marTop w:val="0"/>
      <w:marBottom w:val="0"/>
      <w:divBdr>
        <w:top w:val="none" w:sz="0" w:space="0" w:color="auto"/>
        <w:left w:val="none" w:sz="0" w:space="0" w:color="auto"/>
        <w:bottom w:val="none" w:sz="0" w:space="0" w:color="auto"/>
        <w:right w:val="none" w:sz="0" w:space="0" w:color="auto"/>
      </w:divBdr>
      <w:divsChild>
        <w:div w:id="1376082136">
          <w:marLeft w:val="-720"/>
          <w:marRight w:val="0"/>
          <w:marTop w:val="0"/>
          <w:marBottom w:val="0"/>
          <w:divBdr>
            <w:top w:val="none" w:sz="0" w:space="0" w:color="auto"/>
            <w:left w:val="none" w:sz="0" w:space="0" w:color="auto"/>
            <w:bottom w:val="none" w:sz="0" w:space="0" w:color="auto"/>
            <w:right w:val="none" w:sz="0" w:space="0" w:color="auto"/>
          </w:divBdr>
        </w:div>
      </w:divsChild>
    </w:div>
    <w:div w:id="113211206">
      <w:bodyDiv w:val="1"/>
      <w:marLeft w:val="0"/>
      <w:marRight w:val="0"/>
      <w:marTop w:val="0"/>
      <w:marBottom w:val="0"/>
      <w:divBdr>
        <w:top w:val="none" w:sz="0" w:space="0" w:color="auto"/>
        <w:left w:val="none" w:sz="0" w:space="0" w:color="auto"/>
        <w:bottom w:val="none" w:sz="0" w:space="0" w:color="auto"/>
        <w:right w:val="none" w:sz="0" w:space="0" w:color="auto"/>
      </w:divBdr>
    </w:div>
    <w:div w:id="193229810">
      <w:bodyDiv w:val="1"/>
      <w:marLeft w:val="0"/>
      <w:marRight w:val="0"/>
      <w:marTop w:val="0"/>
      <w:marBottom w:val="0"/>
      <w:divBdr>
        <w:top w:val="none" w:sz="0" w:space="0" w:color="auto"/>
        <w:left w:val="none" w:sz="0" w:space="0" w:color="auto"/>
        <w:bottom w:val="none" w:sz="0" w:space="0" w:color="auto"/>
        <w:right w:val="none" w:sz="0" w:space="0" w:color="auto"/>
      </w:divBdr>
    </w:div>
    <w:div w:id="201789960">
      <w:bodyDiv w:val="1"/>
      <w:marLeft w:val="0"/>
      <w:marRight w:val="0"/>
      <w:marTop w:val="0"/>
      <w:marBottom w:val="0"/>
      <w:divBdr>
        <w:top w:val="none" w:sz="0" w:space="0" w:color="auto"/>
        <w:left w:val="none" w:sz="0" w:space="0" w:color="auto"/>
        <w:bottom w:val="none" w:sz="0" w:space="0" w:color="auto"/>
        <w:right w:val="none" w:sz="0" w:space="0" w:color="auto"/>
      </w:divBdr>
      <w:divsChild>
        <w:div w:id="1800102352">
          <w:marLeft w:val="-720"/>
          <w:marRight w:val="0"/>
          <w:marTop w:val="0"/>
          <w:marBottom w:val="0"/>
          <w:divBdr>
            <w:top w:val="none" w:sz="0" w:space="0" w:color="auto"/>
            <w:left w:val="none" w:sz="0" w:space="0" w:color="auto"/>
            <w:bottom w:val="none" w:sz="0" w:space="0" w:color="auto"/>
            <w:right w:val="none" w:sz="0" w:space="0" w:color="auto"/>
          </w:divBdr>
        </w:div>
      </w:divsChild>
    </w:div>
    <w:div w:id="213323086">
      <w:bodyDiv w:val="1"/>
      <w:marLeft w:val="0"/>
      <w:marRight w:val="0"/>
      <w:marTop w:val="0"/>
      <w:marBottom w:val="0"/>
      <w:divBdr>
        <w:top w:val="none" w:sz="0" w:space="0" w:color="auto"/>
        <w:left w:val="none" w:sz="0" w:space="0" w:color="auto"/>
        <w:bottom w:val="none" w:sz="0" w:space="0" w:color="auto"/>
        <w:right w:val="none" w:sz="0" w:space="0" w:color="auto"/>
      </w:divBdr>
    </w:div>
    <w:div w:id="227427543">
      <w:bodyDiv w:val="1"/>
      <w:marLeft w:val="0"/>
      <w:marRight w:val="0"/>
      <w:marTop w:val="0"/>
      <w:marBottom w:val="0"/>
      <w:divBdr>
        <w:top w:val="none" w:sz="0" w:space="0" w:color="auto"/>
        <w:left w:val="none" w:sz="0" w:space="0" w:color="auto"/>
        <w:bottom w:val="none" w:sz="0" w:space="0" w:color="auto"/>
        <w:right w:val="none" w:sz="0" w:space="0" w:color="auto"/>
      </w:divBdr>
      <w:divsChild>
        <w:div w:id="788207818">
          <w:marLeft w:val="-720"/>
          <w:marRight w:val="0"/>
          <w:marTop w:val="0"/>
          <w:marBottom w:val="0"/>
          <w:divBdr>
            <w:top w:val="none" w:sz="0" w:space="0" w:color="auto"/>
            <w:left w:val="none" w:sz="0" w:space="0" w:color="auto"/>
            <w:bottom w:val="none" w:sz="0" w:space="0" w:color="auto"/>
            <w:right w:val="none" w:sz="0" w:space="0" w:color="auto"/>
          </w:divBdr>
        </w:div>
      </w:divsChild>
    </w:div>
    <w:div w:id="238103414">
      <w:bodyDiv w:val="1"/>
      <w:marLeft w:val="0"/>
      <w:marRight w:val="0"/>
      <w:marTop w:val="0"/>
      <w:marBottom w:val="0"/>
      <w:divBdr>
        <w:top w:val="none" w:sz="0" w:space="0" w:color="auto"/>
        <w:left w:val="none" w:sz="0" w:space="0" w:color="auto"/>
        <w:bottom w:val="none" w:sz="0" w:space="0" w:color="auto"/>
        <w:right w:val="none" w:sz="0" w:space="0" w:color="auto"/>
      </w:divBdr>
    </w:div>
    <w:div w:id="244464646">
      <w:bodyDiv w:val="1"/>
      <w:marLeft w:val="0"/>
      <w:marRight w:val="0"/>
      <w:marTop w:val="0"/>
      <w:marBottom w:val="0"/>
      <w:divBdr>
        <w:top w:val="none" w:sz="0" w:space="0" w:color="auto"/>
        <w:left w:val="none" w:sz="0" w:space="0" w:color="auto"/>
        <w:bottom w:val="none" w:sz="0" w:space="0" w:color="auto"/>
        <w:right w:val="none" w:sz="0" w:space="0" w:color="auto"/>
      </w:divBdr>
    </w:div>
    <w:div w:id="248849238">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72439325">
      <w:bodyDiv w:val="1"/>
      <w:marLeft w:val="0"/>
      <w:marRight w:val="0"/>
      <w:marTop w:val="0"/>
      <w:marBottom w:val="0"/>
      <w:divBdr>
        <w:top w:val="none" w:sz="0" w:space="0" w:color="auto"/>
        <w:left w:val="none" w:sz="0" w:space="0" w:color="auto"/>
        <w:bottom w:val="none" w:sz="0" w:space="0" w:color="auto"/>
        <w:right w:val="none" w:sz="0" w:space="0" w:color="auto"/>
      </w:divBdr>
    </w:div>
    <w:div w:id="292056087">
      <w:bodyDiv w:val="1"/>
      <w:marLeft w:val="0"/>
      <w:marRight w:val="0"/>
      <w:marTop w:val="0"/>
      <w:marBottom w:val="0"/>
      <w:divBdr>
        <w:top w:val="none" w:sz="0" w:space="0" w:color="auto"/>
        <w:left w:val="none" w:sz="0" w:space="0" w:color="auto"/>
        <w:bottom w:val="none" w:sz="0" w:space="0" w:color="auto"/>
        <w:right w:val="none" w:sz="0" w:space="0" w:color="auto"/>
      </w:divBdr>
    </w:div>
    <w:div w:id="300889586">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sChild>
            <w:div w:id="1088160338">
              <w:marLeft w:val="0"/>
              <w:marRight w:val="0"/>
              <w:marTop w:val="0"/>
              <w:marBottom w:val="0"/>
              <w:divBdr>
                <w:top w:val="none" w:sz="0" w:space="0" w:color="auto"/>
                <w:left w:val="none" w:sz="0" w:space="0" w:color="auto"/>
                <w:bottom w:val="none" w:sz="0" w:space="0" w:color="auto"/>
                <w:right w:val="none" w:sz="0" w:space="0" w:color="auto"/>
              </w:divBdr>
              <w:divsChild>
                <w:div w:id="6458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2264">
      <w:bodyDiv w:val="1"/>
      <w:marLeft w:val="0"/>
      <w:marRight w:val="0"/>
      <w:marTop w:val="0"/>
      <w:marBottom w:val="0"/>
      <w:divBdr>
        <w:top w:val="none" w:sz="0" w:space="0" w:color="auto"/>
        <w:left w:val="none" w:sz="0" w:space="0" w:color="auto"/>
        <w:bottom w:val="none" w:sz="0" w:space="0" w:color="auto"/>
        <w:right w:val="none" w:sz="0" w:space="0" w:color="auto"/>
      </w:divBdr>
    </w:div>
    <w:div w:id="303698826">
      <w:bodyDiv w:val="1"/>
      <w:marLeft w:val="0"/>
      <w:marRight w:val="0"/>
      <w:marTop w:val="0"/>
      <w:marBottom w:val="0"/>
      <w:divBdr>
        <w:top w:val="none" w:sz="0" w:space="0" w:color="auto"/>
        <w:left w:val="none" w:sz="0" w:space="0" w:color="auto"/>
        <w:bottom w:val="none" w:sz="0" w:space="0" w:color="auto"/>
        <w:right w:val="none" w:sz="0" w:space="0" w:color="auto"/>
      </w:divBdr>
    </w:div>
    <w:div w:id="304050533">
      <w:bodyDiv w:val="1"/>
      <w:marLeft w:val="0"/>
      <w:marRight w:val="0"/>
      <w:marTop w:val="0"/>
      <w:marBottom w:val="0"/>
      <w:divBdr>
        <w:top w:val="none" w:sz="0" w:space="0" w:color="auto"/>
        <w:left w:val="none" w:sz="0" w:space="0" w:color="auto"/>
        <w:bottom w:val="none" w:sz="0" w:space="0" w:color="auto"/>
        <w:right w:val="none" w:sz="0" w:space="0" w:color="auto"/>
      </w:divBdr>
      <w:divsChild>
        <w:div w:id="1550679303">
          <w:marLeft w:val="-720"/>
          <w:marRight w:val="0"/>
          <w:marTop w:val="0"/>
          <w:marBottom w:val="0"/>
          <w:divBdr>
            <w:top w:val="none" w:sz="0" w:space="0" w:color="auto"/>
            <w:left w:val="none" w:sz="0" w:space="0" w:color="auto"/>
            <w:bottom w:val="none" w:sz="0" w:space="0" w:color="auto"/>
            <w:right w:val="none" w:sz="0" w:space="0" w:color="auto"/>
          </w:divBdr>
        </w:div>
      </w:divsChild>
    </w:div>
    <w:div w:id="314065248">
      <w:bodyDiv w:val="1"/>
      <w:marLeft w:val="0"/>
      <w:marRight w:val="0"/>
      <w:marTop w:val="0"/>
      <w:marBottom w:val="0"/>
      <w:divBdr>
        <w:top w:val="none" w:sz="0" w:space="0" w:color="auto"/>
        <w:left w:val="none" w:sz="0" w:space="0" w:color="auto"/>
        <w:bottom w:val="none" w:sz="0" w:space="0" w:color="auto"/>
        <w:right w:val="none" w:sz="0" w:space="0" w:color="auto"/>
      </w:divBdr>
      <w:divsChild>
        <w:div w:id="925767182">
          <w:marLeft w:val="-720"/>
          <w:marRight w:val="0"/>
          <w:marTop w:val="0"/>
          <w:marBottom w:val="0"/>
          <w:divBdr>
            <w:top w:val="none" w:sz="0" w:space="0" w:color="auto"/>
            <w:left w:val="none" w:sz="0" w:space="0" w:color="auto"/>
            <w:bottom w:val="none" w:sz="0" w:space="0" w:color="auto"/>
            <w:right w:val="none" w:sz="0" w:space="0" w:color="auto"/>
          </w:divBdr>
        </w:div>
      </w:divsChild>
    </w:div>
    <w:div w:id="314603846">
      <w:bodyDiv w:val="1"/>
      <w:marLeft w:val="0"/>
      <w:marRight w:val="0"/>
      <w:marTop w:val="0"/>
      <w:marBottom w:val="0"/>
      <w:divBdr>
        <w:top w:val="none" w:sz="0" w:space="0" w:color="auto"/>
        <w:left w:val="none" w:sz="0" w:space="0" w:color="auto"/>
        <w:bottom w:val="none" w:sz="0" w:space="0" w:color="auto"/>
        <w:right w:val="none" w:sz="0" w:space="0" w:color="auto"/>
      </w:divBdr>
      <w:divsChild>
        <w:div w:id="739134593">
          <w:marLeft w:val="-720"/>
          <w:marRight w:val="0"/>
          <w:marTop w:val="0"/>
          <w:marBottom w:val="0"/>
          <w:divBdr>
            <w:top w:val="none" w:sz="0" w:space="0" w:color="auto"/>
            <w:left w:val="none" w:sz="0" w:space="0" w:color="auto"/>
            <w:bottom w:val="none" w:sz="0" w:space="0" w:color="auto"/>
            <w:right w:val="none" w:sz="0" w:space="0" w:color="auto"/>
          </w:divBdr>
        </w:div>
      </w:divsChild>
    </w:div>
    <w:div w:id="419450805">
      <w:bodyDiv w:val="1"/>
      <w:marLeft w:val="0"/>
      <w:marRight w:val="0"/>
      <w:marTop w:val="0"/>
      <w:marBottom w:val="0"/>
      <w:divBdr>
        <w:top w:val="none" w:sz="0" w:space="0" w:color="auto"/>
        <w:left w:val="none" w:sz="0" w:space="0" w:color="auto"/>
        <w:bottom w:val="none" w:sz="0" w:space="0" w:color="auto"/>
        <w:right w:val="none" w:sz="0" w:space="0" w:color="auto"/>
      </w:divBdr>
      <w:divsChild>
        <w:div w:id="782186777">
          <w:marLeft w:val="0"/>
          <w:marRight w:val="0"/>
          <w:marTop w:val="0"/>
          <w:marBottom w:val="0"/>
          <w:divBdr>
            <w:top w:val="none" w:sz="0" w:space="0" w:color="auto"/>
            <w:left w:val="none" w:sz="0" w:space="0" w:color="auto"/>
            <w:bottom w:val="none" w:sz="0" w:space="0" w:color="auto"/>
            <w:right w:val="none" w:sz="0" w:space="0" w:color="auto"/>
          </w:divBdr>
        </w:div>
      </w:divsChild>
    </w:div>
    <w:div w:id="419836457">
      <w:bodyDiv w:val="1"/>
      <w:marLeft w:val="0"/>
      <w:marRight w:val="0"/>
      <w:marTop w:val="0"/>
      <w:marBottom w:val="0"/>
      <w:divBdr>
        <w:top w:val="none" w:sz="0" w:space="0" w:color="auto"/>
        <w:left w:val="none" w:sz="0" w:space="0" w:color="auto"/>
        <w:bottom w:val="none" w:sz="0" w:space="0" w:color="auto"/>
        <w:right w:val="none" w:sz="0" w:space="0" w:color="auto"/>
      </w:divBdr>
      <w:divsChild>
        <w:div w:id="362245375">
          <w:marLeft w:val="0"/>
          <w:marRight w:val="0"/>
          <w:marTop w:val="0"/>
          <w:marBottom w:val="0"/>
          <w:divBdr>
            <w:top w:val="none" w:sz="0" w:space="0" w:color="auto"/>
            <w:left w:val="none" w:sz="0" w:space="0" w:color="auto"/>
            <w:bottom w:val="none" w:sz="0" w:space="0" w:color="auto"/>
            <w:right w:val="none" w:sz="0" w:space="0" w:color="auto"/>
          </w:divBdr>
          <w:divsChild>
            <w:div w:id="509680736">
              <w:marLeft w:val="0"/>
              <w:marRight w:val="0"/>
              <w:marTop w:val="0"/>
              <w:marBottom w:val="0"/>
              <w:divBdr>
                <w:top w:val="none" w:sz="0" w:space="0" w:color="auto"/>
                <w:left w:val="none" w:sz="0" w:space="0" w:color="auto"/>
                <w:bottom w:val="none" w:sz="0" w:space="0" w:color="auto"/>
                <w:right w:val="none" w:sz="0" w:space="0" w:color="auto"/>
              </w:divBdr>
              <w:divsChild>
                <w:div w:id="1527983124">
                  <w:marLeft w:val="0"/>
                  <w:marRight w:val="0"/>
                  <w:marTop w:val="0"/>
                  <w:marBottom w:val="0"/>
                  <w:divBdr>
                    <w:top w:val="none" w:sz="0" w:space="0" w:color="auto"/>
                    <w:left w:val="none" w:sz="0" w:space="0" w:color="auto"/>
                    <w:bottom w:val="none" w:sz="0" w:space="0" w:color="auto"/>
                    <w:right w:val="none" w:sz="0" w:space="0" w:color="auto"/>
                  </w:divBdr>
                  <w:divsChild>
                    <w:div w:id="5246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030406">
      <w:bodyDiv w:val="1"/>
      <w:marLeft w:val="0"/>
      <w:marRight w:val="0"/>
      <w:marTop w:val="0"/>
      <w:marBottom w:val="0"/>
      <w:divBdr>
        <w:top w:val="none" w:sz="0" w:space="0" w:color="auto"/>
        <w:left w:val="none" w:sz="0" w:space="0" w:color="auto"/>
        <w:bottom w:val="none" w:sz="0" w:space="0" w:color="auto"/>
        <w:right w:val="none" w:sz="0" w:space="0" w:color="auto"/>
      </w:divBdr>
      <w:divsChild>
        <w:div w:id="1001591466">
          <w:marLeft w:val="-720"/>
          <w:marRight w:val="0"/>
          <w:marTop w:val="0"/>
          <w:marBottom w:val="0"/>
          <w:divBdr>
            <w:top w:val="none" w:sz="0" w:space="0" w:color="auto"/>
            <w:left w:val="none" w:sz="0" w:space="0" w:color="auto"/>
            <w:bottom w:val="none" w:sz="0" w:space="0" w:color="auto"/>
            <w:right w:val="none" w:sz="0" w:space="0" w:color="auto"/>
          </w:divBdr>
        </w:div>
      </w:divsChild>
    </w:div>
    <w:div w:id="449670104">
      <w:bodyDiv w:val="1"/>
      <w:marLeft w:val="0"/>
      <w:marRight w:val="0"/>
      <w:marTop w:val="0"/>
      <w:marBottom w:val="0"/>
      <w:divBdr>
        <w:top w:val="none" w:sz="0" w:space="0" w:color="auto"/>
        <w:left w:val="none" w:sz="0" w:space="0" w:color="auto"/>
        <w:bottom w:val="none" w:sz="0" w:space="0" w:color="auto"/>
        <w:right w:val="none" w:sz="0" w:space="0" w:color="auto"/>
      </w:divBdr>
      <w:divsChild>
        <w:div w:id="1315404459">
          <w:marLeft w:val="-720"/>
          <w:marRight w:val="0"/>
          <w:marTop w:val="0"/>
          <w:marBottom w:val="0"/>
          <w:divBdr>
            <w:top w:val="none" w:sz="0" w:space="0" w:color="auto"/>
            <w:left w:val="none" w:sz="0" w:space="0" w:color="auto"/>
            <w:bottom w:val="none" w:sz="0" w:space="0" w:color="auto"/>
            <w:right w:val="none" w:sz="0" w:space="0" w:color="auto"/>
          </w:divBdr>
        </w:div>
      </w:divsChild>
    </w:div>
    <w:div w:id="461265150">
      <w:bodyDiv w:val="1"/>
      <w:marLeft w:val="0"/>
      <w:marRight w:val="0"/>
      <w:marTop w:val="0"/>
      <w:marBottom w:val="0"/>
      <w:divBdr>
        <w:top w:val="none" w:sz="0" w:space="0" w:color="auto"/>
        <w:left w:val="none" w:sz="0" w:space="0" w:color="auto"/>
        <w:bottom w:val="none" w:sz="0" w:space="0" w:color="auto"/>
        <w:right w:val="none" w:sz="0" w:space="0" w:color="auto"/>
      </w:divBdr>
      <w:divsChild>
        <w:div w:id="272254481">
          <w:marLeft w:val="0"/>
          <w:marRight w:val="0"/>
          <w:marTop w:val="0"/>
          <w:marBottom w:val="0"/>
          <w:divBdr>
            <w:top w:val="none" w:sz="0" w:space="0" w:color="auto"/>
            <w:left w:val="none" w:sz="0" w:space="0" w:color="auto"/>
            <w:bottom w:val="none" w:sz="0" w:space="0" w:color="auto"/>
            <w:right w:val="none" w:sz="0" w:space="0" w:color="auto"/>
          </w:divBdr>
          <w:divsChild>
            <w:div w:id="712925728">
              <w:marLeft w:val="0"/>
              <w:marRight w:val="0"/>
              <w:marTop w:val="0"/>
              <w:marBottom w:val="0"/>
              <w:divBdr>
                <w:top w:val="none" w:sz="0" w:space="0" w:color="auto"/>
                <w:left w:val="none" w:sz="0" w:space="0" w:color="auto"/>
                <w:bottom w:val="none" w:sz="0" w:space="0" w:color="auto"/>
                <w:right w:val="none" w:sz="0" w:space="0" w:color="auto"/>
              </w:divBdr>
              <w:divsChild>
                <w:div w:id="17550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1366">
      <w:bodyDiv w:val="1"/>
      <w:marLeft w:val="0"/>
      <w:marRight w:val="0"/>
      <w:marTop w:val="0"/>
      <w:marBottom w:val="0"/>
      <w:divBdr>
        <w:top w:val="none" w:sz="0" w:space="0" w:color="auto"/>
        <w:left w:val="none" w:sz="0" w:space="0" w:color="auto"/>
        <w:bottom w:val="none" w:sz="0" w:space="0" w:color="auto"/>
        <w:right w:val="none" w:sz="0" w:space="0" w:color="auto"/>
      </w:divBdr>
      <w:divsChild>
        <w:div w:id="1668702189">
          <w:marLeft w:val="-720"/>
          <w:marRight w:val="0"/>
          <w:marTop w:val="0"/>
          <w:marBottom w:val="0"/>
          <w:divBdr>
            <w:top w:val="none" w:sz="0" w:space="0" w:color="auto"/>
            <w:left w:val="none" w:sz="0" w:space="0" w:color="auto"/>
            <w:bottom w:val="none" w:sz="0" w:space="0" w:color="auto"/>
            <w:right w:val="none" w:sz="0" w:space="0" w:color="auto"/>
          </w:divBdr>
        </w:div>
      </w:divsChild>
    </w:div>
    <w:div w:id="470828842">
      <w:bodyDiv w:val="1"/>
      <w:marLeft w:val="0"/>
      <w:marRight w:val="0"/>
      <w:marTop w:val="0"/>
      <w:marBottom w:val="0"/>
      <w:divBdr>
        <w:top w:val="none" w:sz="0" w:space="0" w:color="auto"/>
        <w:left w:val="none" w:sz="0" w:space="0" w:color="auto"/>
        <w:bottom w:val="none" w:sz="0" w:space="0" w:color="auto"/>
        <w:right w:val="none" w:sz="0" w:space="0" w:color="auto"/>
      </w:divBdr>
      <w:divsChild>
        <w:div w:id="661082732">
          <w:marLeft w:val="0"/>
          <w:marRight w:val="0"/>
          <w:marTop w:val="0"/>
          <w:marBottom w:val="0"/>
          <w:divBdr>
            <w:top w:val="none" w:sz="0" w:space="0" w:color="auto"/>
            <w:left w:val="none" w:sz="0" w:space="0" w:color="auto"/>
            <w:bottom w:val="none" w:sz="0" w:space="0" w:color="auto"/>
            <w:right w:val="none" w:sz="0" w:space="0" w:color="auto"/>
          </w:divBdr>
          <w:divsChild>
            <w:div w:id="1413815042">
              <w:marLeft w:val="0"/>
              <w:marRight w:val="0"/>
              <w:marTop w:val="0"/>
              <w:marBottom w:val="0"/>
              <w:divBdr>
                <w:top w:val="none" w:sz="0" w:space="0" w:color="auto"/>
                <w:left w:val="none" w:sz="0" w:space="0" w:color="auto"/>
                <w:bottom w:val="none" w:sz="0" w:space="0" w:color="auto"/>
                <w:right w:val="none" w:sz="0" w:space="0" w:color="auto"/>
              </w:divBdr>
              <w:divsChild>
                <w:div w:id="8110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90961">
      <w:bodyDiv w:val="1"/>
      <w:marLeft w:val="0"/>
      <w:marRight w:val="0"/>
      <w:marTop w:val="0"/>
      <w:marBottom w:val="0"/>
      <w:divBdr>
        <w:top w:val="none" w:sz="0" w:space="0" w:color="auto"/>
        <w:left w:val="none" w:sz="0" w:space="0" w:color="auto"/>
        <w:bottom w:val="none" w:sz="0" w:space="0" w:color="auto"/>
        <w:right w:val="none" w:sz="0" w:space="0" w:color="auto"/>
      </w:divBdr>
      <w:divsChild>
        <w:div w:id="452090223">
          <w:marLeft w:val="0"/>
          <w:marRight w:val="0"/>
          <w:marTop w:val="0"/>
          <w:marBottom w:val="0"/>
          <w:divBdr>
            <w:top w:val="none" w:sz="0" w:space="0" w:color="auto"/>
            <w:left w:val="none" w:sz="0" w:space="0" w:color="auto"/>
            <w:bottom w:val="none" w:sz="0" w:space="0" w:color="auto"/>
            <w:right w:val="none" w:sz="0" w:space="0" w:color="auto"/>
          </w:divBdr>
          <w:divsChild>
            <w:div w:id="701976912">
              <w:marLeft w:val="0"/>
              <w:marRight w:val="0"/>
              <w:marTop w:val="0"/>
              <w:marBottom w:val="0"/>
              <w:divBdr>
                <w:top w:val="none" w:sz="0" w:space="0" w:color="auto"/>
                <w:left w:val="none" w:sz="0" w:space="0" w:color="auto"/>
                <w:bottom w:val="none" w:sz="0" w:space="0" w:color="auto"/>
                <w:right w:val="none" w:sz="0" w:space="0" w:color="auto"/>
              </w:divBdr>
              <w:divsChild>
                <w:div w:id="20990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55770">
      <w:bodyDiv w:val="1"/>
      <w:marLeft w:val="0"/>
      <w:marRight w:val="0"/>
      <w:marTop w:val="0"/>
      <w:marBottom w:val="0"/>
      <w:divBdr>
        <w:top w:val="none" w:sz="0" w:space="0" w:color="auto"/>
        <w:left w:val="none" w:sz="0" w:space="0" w:color="auto"/>
        <w:bottom w:val="none" w:sz="0" w:space="0" w:color="auto"/>
        <w:right w:val="none" w:sz="0" w:space="0" w:color="auto"/>
      </w:divBdr>
    </w:div>
    <w:div w:id="510216460">
      <w:bodyDiv w:val="1"/>
      <w:marLeft w:val="0"/>
      <w:marRight w:val="0"/>
      <w:marTop w:val="0"/>
      <w:marBottom w:val="0"/>
      <w:divBdr>
        <w:top w:val="none" w:sz="0" w:space="0" w:color="auto"/>
        <w:left w:val="none" w:sz="0" w:space="0" w:color="auto"/>
        <w:bottom w:val="none" w:sz="0" w:space="0" w:color="auto"/>
        <w:right w:val="none" w:sz="0" w:space="0" w:color="auto"/>
      </w:divBdr>
    </w:div>
    <w:div w:id="518619055">
      <w:bodyDiv w:val="1"/>
      <w:marLeft w:val="0"/>
      <w:marRight w:val="0"/>
      <w:marTop w:val="0"/>
      <w:marBottom w:val="0"/>
      <w:divBdr>
        <w:top w:val="none" w:sz="0" w:space="0" w:color="auto"/>
        <w:left w:val="none" w:sz="0" w:space="0" w:color="auto"/>
        <w:bottom w:val="none" w:sz="0" w:space="0" w:color="auto"/>
        <w:right w:val="none" w:sz="0" w:space="0" w:color="auto"/>
      </w:divBdr>
      <w:divsChild>
        <w:div w:id="1122453960">
          <w:marLeft w:val="0"/>
          <w:marRight w:val="0"/>
          <w:marTop w:val="0"/>
          <w:marBottom w:val="0"/>
          <w:divBdr>
            <w:top w:val="none" w:sz="0" w:space="0" w:color="auto"/>
            <w:left w:val="none" w:sz="0" w:space="0" w:color="auto"/>
            <w:bottom w:val="none" w:sz="0" w:space="0" w:color="auto"/>
            <w:right w:val="none" w:sz="0" w:space="0" w:color="auto"/>
          </w:divBdr>
          <w:divsChild>
            <w:div w:id="1373456818">
              <w:marLeft w:val="0"/>
              <w:marRight w:val="0"/>
              <w:marTop w:val="0"/>
              <w:marBottom w:val="0"/>
              <w:divBdr>
                <w:top w:val="none" w:sz="0" w:space="0" w:color="auto"/>
                <w:left w:val="none" w:sz="0" w:space="0" w:color="auto"/>
                <w:bottom w:val="none" w:sz="0" w:space="0" w:color="auto"/>
                <w:right w:val="none" w:sz="0" w:space="0" w:color="auto"/>
              </w:divBdr>
              <w:divsChild>
                <w:div w:id="140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98927">
      <w:bodyDiv w:val="1"/>
      <w:marLeft w:val="0"/>
      <w:marRight w:val="0"/>
      <w:marTop w:val="0"/>
      <w:marBottom w:val="0"/>
      <w:divBdr>
        <w:top w:val="none" w:sz="0" w:space="0" w:color="auto"/>
        <w:left w:val="none" w:sz="0" w:space="0" w:color="auto"/>
        <w:bottom w:val="none" w:sz="0" w:space="0" w:color="auto"/>
        <w:right w:val="none" w:sz="0" w:space="0" w:color="auto"/>
      </w:divBdr>
    </w:div>
    <w:div w:id="573589587">
      <w:bodyDiv w:val="1"/>
      <w:marLeft w:val="0"/>
      <w:marRight w:val="0"/>
      <w:marTop w:val="0"/>
      <w:marBottom w:val="0"/>
      <w:divBdr>
        <w:top w:val="none" w:sz="0" w:space="0" w:color="auto"/>
        <w:left w:val="none" w:sz="0" w:space="0" w:color="auto"/>
        <w:bottom w:val="none" w:sz="0" w:space="0" w:color="auto"/>
        <w:right w:val="none" w:sz="0" w:space="0" w:color="auto"/>
      </w:divBdr>
    </w:div>
    <w:div w:id="576936843">
      <w:bodyDiv w:val="1"/>
      <w:marLeft w:val="0"/>
      <w:marRight w:val="0"/>
      <w:marTop w:val="0"/>
      <w:marBottom w:val="0"/>
      <w:divBdr>
        <w:top w:val="none" w:sz="0" w:space="0" w:color="auto"/>
        <w:left w:val="none" w:sz="0" w:space="0" w:color="auto"/>
        <w:bottom w:val="none" w:sz="0" w:space="0" w:color="auto"/>
        <w:right w:val="none" w:sz="0" w:space="0" w:color="auto"/>
      </w:divBdr>
      <w:divsChild>
        <w:div w:id="1769497644">
          <w:marLeft w:val="-720"/>
          <w:marRight w:val="0"/>
          <w:marTop w:val="0"/>
          <w:marBottom w:val="0"/>
          <w:divBdr>
            <w:top w:val="none" w:sz="0" w:space="0" w:color="auto"/>
            <w:left w:val="none" w:sz="0" w:space="0" w:color="auto"/>
            <w:bottom w:val="none" w:sz="0" w:space="0" w:color="auto"/>
            <w:right w:val="none" w:sz="0" w:space="0" w:color="auto"/>
          </w:divBdr>
        </w:div>
      </w:divsChild>
    </w:div>
    <w:div w:id="611061086">
      <w:bodyDiv w:val="1"/>
      <w:marLeft w:val="0"/>
      <w:marRight w:val="0"/>
      <w:marTop w:val="0"/>
      <w:marBottom w:val="0"/>
      <w:divBdr>
        <w:top w:val="none" w:sz="0" w:space="0" w:color="auto"/>
        <w:left w:val="none" w:sz="0" w:space="0" w:color="auto"/>
        <w:bottom w:val="none" w:sz="0" w:space="0" w:color="auto"/>
        <w:right w:val="none" w:sz="0" w:space="0" w:color="auto"/>
      </w:divBdr>
      <w:divsChild>
        <w:div w:id="2099598483">
          <w:marLeft w:val="-720"/>
          <w:marRight w:val="0"/>
          <w:marTop w:val="0"/>
          <w:marBottom w:val="0"/>
          <w:divBdr>
            <w:top w:val="none" w:sz="0" w:space="0" w:color="auto"/>
            <w:left w:val="none" w:sz="0" w:space="0" w:color="auto"/>
            <w:bottom w:val="none" w:sz="0" w:space="0" w:color="auto"/>
            <w:right w:val="none" w:sz="0" w:space="0" w:color="auto"/>
          </w:divBdr>
        </w:div>
      </w:divsChild>
    </w:div>
    <w:div w:id="612593423">
      <w:bodyDiv w:val="1"/>
      <w:marLeft w:val="0"/>
      <w:marRight w:val="0"/>
      <w:marTop w:val="0"/>
      <w:marBottom w:val="0"/>
      <w:divBdr>
        <w:top w:val="none" w:sz="0" w:space="0" w:color="auto"/>
        <w:left w:val="none" w:sz="0" w:space="0" w:color="auto"/>
        <w:bottom w:val="none" w:sz="0" w:space="0" w:color="auto"/>
        <w:right w:val="none" w:sz="0" w:space="0" w:color="auto"/>
      </w:divBdr>
    </w:div>
    <w:div w:id="642009337">
      <w:bodyDiv w:val="1"/>
      <w:marLeft w:val="0"/>
      <w:marRight w:val="0"/>
      <w:marTop w:val="0"/>
      <w:marBottom w:val="0"/>
      <w:divBdr>
        <w:top w:val="none" w:sz="0" w:space="0" w:color="auto"/>
        <w:left w:val="none" w:sz="0" w:space="0" w:color="auto"/>
        <w:bottom w:val="none" w:sz="0" w:space="0" w:color="auto"/>
        <w:right w:val="none" w:sz="0" w:space="0" w:color="auto"/>
      </w:divBdr>
    </w:div>
    <w:div w:id="643779142">
      <w:bodyDiv w:val="1"/>
      <w:marLeft w:val="0"/>
      <w:marRight w:val="0"/>
      <w:marTop w:val="0"/>
      <w:marBottom w:val="0"/>
      <w:divBdr>
        <w:top w:val="none" w:sz="0" w:space="0" w:color="auto"/>
        <w:left w:val="none" w:sz="0" w:space="0" w:color="auto"/>
        <w:bottom w:val="none" w:sz="0" w:space="0" w:color="auto"/>
        <w:right w:val="none" w:sz="0" w:space="0" w:color="auto"/>
      </w:divBdr>
      <w:divsChild>
        <w:div w:id="1854605517">
          <w:marLeft w:val="-720"/>
          <w:marRight w:val="0"/>
          <w:marTop w:val="0"/>
          <w:marBottom w:val="0"/>
          <w:divBdr>
            <w:top w:val="none" w:sz="0" w:space="0" w:color="auto"/>
            <w:left w:val="none" w:sz="0" w:space="0" w:color="auto"/>
            <w:bottom w:val="none" w:sz="0" w:space="0" w:color="auto"/>
            <w:right w:val="none" w:sz="0" w:space="0" w:color="auto"/>
          </w:divBdr>
        </w:div>
      </w:divsChild>
    </w:div>
    <w:div w:id="649098747">
      <w:bodyDiv w:val="1"/>
      <w:marLeft w:val="0"/>
      <w:marRight w:val="0"/>
      <w:marTop w:val="0"/>
      <w:marBottom w:val="0"/>
      <w:divBdr>
        <w:top w:val="none" w:sz="0" w:space="0" w:color="auto"/>
        <w:left w:val="none" w:sz="0" w:space="0" w:color="auto"/>
        <w:bottom w:val="none" w:sz="0" w:space="0" w:color="auto"/>
        <w:right w:val="none" w:sz="0" w:space="0" w:color="auto"/>
      </w:divBdr>
    </w:div>
    <w:div w:id="675153880">
      <w:bodyDiv w:val="1"/>
      <w:marLeft w:val="0"/>
      <w:marRight w:val="0"/>
      <w:marTop w:val="0"/>
      <w:marBottom w:val="0"/>
      <w:divBdr>
        <w:top w:val="none" w:sz="0" w:space="0" w:color="auto"/>
        <w:left w:val="none" w:sz="0" w:space="0" w:color="auto"/>
        <w:bottom w:val="none" w:sz="0" w:space="0" w:color="auto"/>
        <w:right w:val="none" w:sz="0" w:space="0" w:color="auto"/>
      </w:divBdr>
      <w:divsChild>
        <w:div w:id="1117211974">
          <w:marLeft w:val="0"/>
          <w:marRight w:val="0"/>
          <w:marTop w:val="0"/>
          <w:marBottom w:val="0"/>
          <w:divBdr>
            <w:top w:val="none" w:sz="0" w:space="0" w:color="auto"/>
            <w:left w:val="none" w:sz="0" w:space="0" w:color="auto"/>
            <w:bottom w:val="none" w:sz="0" w:space="0" w:color="auto"/>
            <w:right w:val="none" w:sz="0" w:space="0" w:color="auto"/>
          </w:divBdr>
          <w:divsChild>
            <w:div w:id="1680741202">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50867">
      <w:bodyDiv w:val="1"/>
      <w:marLeft w:val="0"/>
      <w:marRight w:val="0"/>
      <w:marTop w:val="0"/>
      <w:marBottom w:val="0"/>
      <w:divBdr>
        <w:top w:val="none" w:sz="0" w:space="0" w:color="auto"/>
        <w:left w:val="none" w:sz="0" w:space="0" w:color="auto"/>
        <w:bottom w:val="none" w:sz="0" w:space="0" w:color="auto"/>
        <w:right w:val="none" w:sz="0" w:space="0" w:color="auto"/>
      </w:divBdr>
    </w:div>
    <w:div w:id="694967896">
      <w:bodyDiv w:val="1"/>
      <w:marLeft w:val="0"/>
      <w:marRight w:val="0"/>
      <w:marTop w:val="0"/>
      <w:marBottom w:val="0"/>
      <w:divBdr>
        <w:top w:val="none" w:sz="0" w:space="0" w:color="auto"/>
        <w:left w:val="none" w:sz="0" w:space="0" w:color="auto"/>
        <w:bottom w:val="none" w:sz="0" w:space="0" w:color="auto"/>
        <w:right w:val="none" w:sz="0" w:space="0" w:color="auto"/>
      </w:divBdr>
    </w:div>
    <w:div w:id="695738369">
      <w:bodyDiv w:val="1"/>
      <w:marLeft w:val="0"/>
      <w:marRight w:val="0"/>
      <w:marTop w:val="0"/>
      <w:marBottom w:val="0"/>
      <w:divBdr>
        <w:top w:val="none" w:sz="0" w:space="0" w:color="auto"/>
        <w:left w:val="none" w:sz="0" w:space="0" w:color="auto"/>
        <w:bottom w:val="none" w:sz="0" w:space="0" w:color="auto"/>
        <w:right w:val="none" w:sz="0" w:space="0" w:color="auto"/>
      </w:divBdr>
    </w:div>
    <w:div w:id="700402189">
      <w:bodyDiv w:val="1"/>
      <w:marLeft w:val="0"/>
      <w:marRight w:val="0"/>
      <w:marTop w:val="0"/>
      <w:marBottom w:val="0"/>
      <w:divBdr>
        <w:top w:val="none" w:sz="0" w:space="0" w:color="auto"/>
        <w:left w:val="none" w:sz="0" w:space="0" w:color="auto"/>
        <w:bottom w:val="none" w:sz="0" w:space="0" w:color="auto"/>
        <w:right w:val="none" w:sz="0" w:space="0" w:color="auto"/>
      </w:divBdr>
    </w:div>
    <w:div w:id="728069024">
      <w:bodyDiv w:val="1"/>
      <w:marLeft w:val="0"/>
      <w:marRight w:val="0"/>
      <w:marTop w:val="0"/>
      <w:marBottom w:val="0"/>
      <w:divBdr>
        <w:top w:val="none" w:sz="0" w:space="0" w:color="auto"/>
        <w:left w:val="none" w:sz="0" w:space="0" w:color="auto"/>
        <w:bottom w:val="none" w:sz="0" w:space="0" w:color="auto"/>
        <w:right w:val="none" w:sz="0" w:space="0" w:color="auto"/>
      </w:divBdr>
      <w:divsChild>
        <w:div w:id="706174670">
          <w:marLeft w:val="0"/>
          <w:marRight w:val="0"/>
          <w:marTop w:val="0"/>
          <w:marBottom w:val="0"/>
          <w:divBdr>
            <w:top w:val="none" w:sz="0" w:space="0" w:color="auto"/>
            <w:left w:val="none" w:sz="0" w:space="0" w:color="auto"/>
            <w:bottom w:val="none" w:sz="0" w:space="0" w:color="auto"/>
            <w:right w:val="none" w:sz="0" w:space="0" w:color="auto"/>
          </w:divBdr>
          <w:divsChild>
            <w:div w:id="1809203336">
              <w:marLeft w:val="0"/>
              <w:marRight w:val="0"/>
              <w:marTop w:val="0"/>
              <w:marBottom w:val="0"/>
              <w:divBdr>
                <w:top w:val="none" w:sz="0" w:space="0" w:color="auto"/>
                <w:left w:val="none" w:sz="0" w:space="0" w:color="auto"/>
                <w:bottom w:val="none" w:sz="0" w:space="0" w:color="auto"/>
                <w:right w:val="none" w:sz="0" w:space="0" w:color="auto"/>
              </w:divBdr>
              <w:divsChild>
                <w:div w:id="21083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035194">
      <w:bodyDiv w:val="1"/>
      <w:marLeft w:val="0"/>
      <w:marRight w:val="0"/>
      <w:marTop w:val="0"/>
      <w:marBottom w:val="0"/>
      <w:divBdr>
        <w:top w:val="none" w:sz="0" w:space="0" w:color="auto"/>
        <w:left w:val="none" w:sz="0" w:space="0" w:color="auto"/>
        <w:bottom w:val="none" w:sz="0" w:space="0" w:color="auto"/>
        <w:right w:val="none" w:sz="0" w:space="0" w:color="auto"/>
      </w:divBdr>
      <w:divsChild>
        <w:div w:id="1582640392">
          <w:marLeft w:val="-720"/>
          <w:marRight w:val="0"/>
          <w:marTop w:val="0"/>
          <w:marBottom w:val="0"/>
          <w:divBdr>
            <w:top w:val="none" w:sz="0" w:space="0" w:color="auto"/>
            <w:left w:val="none" w:sz="0" w:space="0" w:color="auto"/>
            <w:bottom w:val="none" w:sz="0" w:space="0" w:color="auto"/>
            <w:right w:val="none" w:sz="0" w:space="0" w:color="auto"/>
          </w:divBdr>
        </w:div>
      </w:divsChild>
    </w:div>
    <w:div w:id="758529021">
      <w:bodyDiv w:val="1"/>
      <w:marLeft w:val="0"/>
      <w:marRight w:val="0"/>
      <w:marTop w:val="0"/>
      <w:marBottom w:val="0"/>
      <w:divBdr>
        <w:top w:val="none" w:sz="0" w:space="0" w:color="auto"/>
        <w:left w:val="none" w:sz="0" w:space="0" w:color="auto"/>
        <w:bottom w:val="none" w:sz="0" w:space="0" w:color="auto"/>
        <w:right w:val="none" w:sz="0" w:space="0" w:color="auto"/>
      </w:divBdr>
      <w:divsChild>
        <w:div w:id="691494412">
          <w:marLeft w:val="0"/>
          <w:marRight w:val="0"/>
          <w:marTop w:val="0"/>
          <w:marBottom w:val="0"/>
          <w:divBdr>
            <w:top w:val="none" w:sz="0" w:space="0" w:color="auto"/>
            <w:left w:val="none" w:sz="0" w:space="0" w:color="auto"/>
            <w:bottom w:val="none" w:sz="0" w:space="0" w:color="auto"/>
            <w:right w:val="none" w:sz="0" w:space="0" w:color="auto"/>
          </w:divBdr>
        </w:div>
        <w:div w:id="288318420">
          <w:marLeft w:val="0"/>
          <w:marRight w:val="0"/>
          <w:marTop w:val="0"/>
          <w:marBottom w:val="0"/>
          <w:divBdr>
            <w:top w:val="none" w:sz="0" w:space="0" w:color="auto"/>
            <w:left w:val="none" w:sz="0" w:space="0" w:color="auto"/>
            <w:bottom w:val="none" w:sz="0" w:space="0" w:color="auto"/>
            <w:right w:val="none" w:sz="0" w:space="0" w:color="auto"/>
          </w:divBdr>
        </w:div>
        <w:div w:id="1734085101">
          <w:marLeft w:val="0"/>
          <w:marRight w:val="0"/>
          <w:marTop w:val="0"/>
          <w:marBottom w:val="0"/>
          <w:divBdr>
            <w:top w:val="none" w:sz="0" w:space="0" w:color="auto"/>
            <w:left w:val="none" w:sz="0" w:space="0" w:color="auto"/>
            <w:bottom w:val="none" w:sz="0" w:space="0" w:color="auto"/>
            <w:right w:val="none" w:sz="0" w:space="0" w:color="auto"/>
          </w:divBdr>
        </w:div>
        <w:div w:id="1346520877">
          <w:marLeft w:val="0"/>
          <w:marRight w:val="0"/>
          <w:marTop w:val="0"/>
          <w:marBottom w:val="0"/>
          <w:divBdr>
            <w:top w:val="none" w:sz="0" w:space="0" w:color="auto"/>
            <w:left w:val="none" w:sz="0" w:space="0" w:color="auto"/>
            <w:bottom w:val="none" w:sz="0" w:space="0" w:color="auto"/>
            <w:right w:val="none" w:sz="0" w:space="0" w:color="auto"/>
          </w:divBdr>
        </w:div>
      </w:divsChild>
    </w:div>
    <w:div w:id="776488062">
      <w:bodyDiv w:val="1"/>
      <w:marLeft w:val="0"/>
      <w:marRight w:val="0"/>
      <w:marTop w:val="0"/>
      <w:marBottom w:val="0"/>
      <w:divBdr>
        <w:top w:val="none" w:sz="0" w:space="0" w:color="auto"/>
        <w:left w:val="none" w:sz="0" w:space="0" w:color="auto"/>
        <w:bottom w:val="none" w:sz="0" w:space="0" w:color="auto"/>
        <w:right w:val="none" w:sz="0" w:space="0" w:color="auto"/>
      </w:divBdr>
      <w:divsChild>
        <w:div w:id="836727740">
          <w:marLeft w:val="-720"/>
          <w:marRight w:val="0"/>
          <w:marTop w:val="0"/>
          <w:marBottom w:val="0"/>
          <w:divBdr>
            <w:top w:val="none" w:sz="0" w:space="0" w:color="auto"/>
            <w:left w:val="none" w:sz="0" w:space="0" w:color="auto"/>
            <w:bottom w:val="none" w:sz="0" w:space="0" w:color="auto"/>
            <w:right w:val="none" w:sz="0" w:space="0" w:color="auto"/>
          </w:divBdr>
        </w:div>
      </w:divsChild>
    </w:div>
    <w:div w:id="783623188">
      <w:bodyDiv w:val="1"/>
      <w:marLeft w:val="0"/>
      <w:marRight w:val="0"/>
      <w:marTop w:val="0"/>
      <w:marBottom w:val="0"/>
      <w:divBdr>
        <w:top w:val="none" w:sz="0" w:space="0" w:color="auto"/>
        <w:left w:val="none" w:sz="0" w:space="0" w:color="auto"/>
        <w:bottom w:val="none" w:sz="0" w:space="0" w:color="auto"/>
        <w:right w:val="none" w:sz="0" w:space="0" w:color="auto"/>
      </w:divBdr>
      <w:divsChild>
        <w:div w:id="706374141">
          <w:marLeft w:val="0"/>
          <w:marRight w:val="0"/>
          <w:marTop w:val="0"/>
          <w:marBottom w:val="0"/>
          <w:divBdr>
            <w:top w:val="none" w:sz="0" w:space="0" w:color="auto"/>
            <w:left w:val="none" w:sz="0" w:space="0" w:color="auto"/>
            <w:bottom w:val="none" w:sz="0" w:space="0" w:color="auto"/>
            <w:right w:val="none" w:sz="0" w:space="0" w:color="auto"/>
          </w:divBdr>
          <w:divsChild>
            <w:div w:id="1611279374">
              <w:marLeft w:val="0"/>
              <w:marRight w:val="0"/>
              <w:marTop w:val="0"/>
              <w:marBottom w:val="0"/>
              <w:divBdr>
                <w:top w:val="none" w:sz="0" w:space="0" w:color="auto"/>
                <w:left w:val="none" w:sz="0" w:space="0" w:color="auto"/>
                <w:bottom w:val="none" w:sz="0" w:space="0" w:color="auto"/>
                <w:right w:val="none" w:sz="0" w:space="0" w:color="auto"/>
              </w:divBdr>
              <w:divsChild>
                <w:div w:id="9267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66974">
      <w:bodyDiv w:val="1"/>
      <w:marLeft w:val="0"/>
      <w:marRight w:val="0"/>
      <w:marTop w:val="0"/>
      <w:marBottom w:val="0"/>
      <w:divBdr>
        <w:top w:val="none" w:sz="0" w:space="0" w:color="auto"/>
        <w:left w:val="none" w:sz="0" w:space="0" w:color="auto"/>
        <w:bottom w:val="none" w:sz="0" w:space="0" w:color="auto"/>
        <w:right w:val="none" w:sz="0" w:space="0" w:color="auto"/>
      </w:divBdr>
    </w:div>
    <w:div w:id="807941477">
      <w:bodyDiv w:val="1"/>
      <w:marLeft w:val="0"/>
      <w:marRight w:val="0"/>
      <w:marTop w:val="0"/>
      <w:marBottom w:val="0"/>
      <w:divBdr>
        <w:top w:val="none" w:sz="0" w:space="0" w:color="auto"/>
        <w:left w:val="none" w:sz="0" w:space="0" w:color="auto"/>
        <w:bottom w:val="none" w:sz="0" w:space="0" w:color="auto"/>
        <w:right w:val="none" w:sz="0" w:space="0" w:color="auto"/>
      </w:divBdr>
    </w:div>
    <w:div w:id="810489317">
      <w:bodyDiv w:val="1"/>
      <w:marLeft w:val="0"/>
      <w:marRight w:val="0"/>
      <w:marTop w:val="0"/>
      <w:marBottom w:val="0"/>
      <w:divBdr>
        <w:top w:val="none" w:sz="0" w:space="0" w:color="auto"/>
        <w:left w:val="none" w:sz="0" w:space="0" w:color="auto"/>
        <w:bottom w:val="none" w:sz="0" w:space="0" w:color="auto"/>
        <w:right w:val="none" w:sz="0" w:space="0" w:color="auto"/>
      </w:divBdr>
      <w:divsChild>
        <w:div w:id="1871793225">
          <w:marLeft w:val="0"/>
          <w:marRight w:val="0"/>
          <w:marTop w:val="0"/>
          <w:marBottom w:val="0"/>
          <w:divBdr>
            <w:top w:val="none" w:sz="0" w:space="0" w:color="auto"/>
            <w:left w:val="none" w:sz="0" w:space="0" w:color="auto"/>
            <w:bottom w:val="none" w:sz="0" w:space="0" w:color="auto"/>
            <w:right w:val="none" w:sz="0" w:space="0" w:color="auto"/>
          </w:divBdr>
          <w:divsChild>
            <w:div w:id="147866728">
              <w:marLeft w:val="0"/>
              <w:marRight w:val="0"/>
              <w:marTop w:val="0"/>
              <w:marBottom w:val="0"/>
              <w:divBdr>
                <w:top w:val="none" w:sz="0" w:space="0" w:color="auto"/>
                <w:left w:val="none" w:sz="0" w:space="0" w:color="auto"/>
                <w:bottom w:val="none" w:sz="0" w:space="0" w:color="auto"/>
                <w:right w:val="none" w:sz="0" w:space="0" w:color="auto"/>
              </w:divBdr>
              <w:divsChild>
                <w:div w:id="1949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8532">
      <w:bodyDiv w:val="1"/>
      <w:marLeft w:val="0"/>
      <w:marRight w:val="0"/>
      <w:marTop w:val="0"/>
      <w:marBottom w:val="0"/>
      <w:divBdr>
        <w:top w:val="none" w:sz="0" w:space="0" w:color="auto"/>
        <w:left w:val="none" w:sz="0" w:space="0" w:color="auto"/>
        <w:bottom w:val="none" w:sz="0" w:space="0" w:color="auto"/>
        <w:right w:val="none" w:sz="0" w:space="0" w:color="auto"/>
      </w:divBdr>
      <w:divsChild>
        <w:div w:id="1578981100">
          <w:marLeft w:val="-720"/>
          <w:marRight w:val="0"/>
          <w:marTop w:val="0"/>
          <w:marBottom w:val="0"/>
          <w:divBdr>
            <w:top w:val="none" w:sz="0" w:space="0" w:color="auto"/>
            <w:left w:val="none" w:sz="0" w:space="0" w:color="auto"/>
            <w:bottom w:val="none" w:sz="0" w:space="0" w:color="auto"/>
            <w:right w:val="none" w:sz="0" w:space="0" w:color="auto"/>
          </w:divBdr>
        </w:div>
      </w:divsChild>
    </w:div>
    <w:div w:id="841822386">
      <w:bodyDiv w:val="1"/>
      <w:marLeft w:val="0"/>
      <w:marRight w:val="0"/>
      <w:marTop w:val="0"/>
      <w:marBottom w:val="0"/>
      <w:divBdr>
        <w:top w:val="none" w:sz="0" w:space="0" w:color="auto"/>
        <w:left w:val="none" w:sz="0" w:space="0" w:color="auto"/>
        <w:bottom w:val="none" w:sz="0" w:space="0" w:color="auto"/>
        <w:right w:val="none" w:sz="0" w:space="0" w:color="auto"/>
      </w:divBdr>
    </w:div>
    <w:div w:id="887490369">
      <w:bodyDiv w:val="1"/>
      <w:marLeft w:val="0"/>
      <w:marRight w:val="0"/>
      <w:marTop w:val="0"/>
      <w:marBottom w:val="0"/>
      <w:divBdr>
        <w:top w:val="none" w:sz="0" w:space="0" w:color="auto"/>
        <w:left w:val="none" w:sz="0" w:space="0" w:color="auto"/>
        <w:bottom w:val="none" w:sz="0" w:space="0" w:color="auto"/>
        <w:right w:val="none" w:sz="0" w:space="0" w:color="auto"/>
      </w:divBdr>
    </w:div>
    <w:div w:id="932669515">
      <w:bodyDiv w:val="1"/>
      <w:marLeft w:val="0"/>
      <w:marRight w:val="0"/>
      <w:marTop w:val="0"/>
      <w:marBottom w:val="0"/>
      <w:divBdr>
        <w:top w:val="none" w:sz="0" w:space="0" w:color="auto"/>
        <w:left w:val="none" w:sz="0" w:space="0" w:color="auto"/>
        <w:bottom w:val="none" w:sz="0" w:space="0" w:color="auto"/>
        <w:right w:val="none" w:sz="0" w:space="0" w:color="auto"/>
      </w:divBdr>
      <w:divsChild>
        <w:div w:id="1353187566">
          <w:marLeft w:val="0"/>
          <w:marRight w:val="0"/>
          <w:marTop w:val="0"/>
          <w:marBottom w:val="0"/>
          <w:divBdr>
            <w:top w:val="none" w:sz="0" w:space="0" w:color="auto"/>
            <w:left w:val="none" w:sz="0" w:space="0" w:color="auto"/>
            <w:bottom w:val="none" w:sz="0" w:space="0" w:color="auto"/>
            <w:right w:val="none" w:sz="0" w:space="0" w:color="auto"/>
          </w:divBdr>
          <w:divsChild>
            <w:div w:id="361633345">
              <w:marLeft w:val="0"/>
              <w:marRight w:val="0"/>
              <w:marTop w:val="0"/>
              <w:marBottom w:val="0"/>
              <w:divBdr>
                <w:top w:val="none" w:sz="0" w:space="0" w:color="auto"/>
                <w:left w:val="none" w:sz="0" w:space="0" w:color="auto"/>
                <w:bottom w:val="none" w:sz="0" w:space="0" w:color="auto"/>
                <w:right w:val="none" w:sz="0" w:space="0" w:color="auto"/>
              </w:divBdr>
              <w:divsChild>
                <w:div w:id="521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15666">
      <w:bodyDiv w:val="1"/>
      <w:marLeft w:val="0"/>
      <w:marRight w:val="0"/>
      <w:marTop w:val="0"/>
      <w:marBottom w:val="0"/>
      <w:divBdr>
        <w:top w:val="none" w:sz="0" w:space="0" w:color="auto"/>
        <w:left w:val="none" w:sz="0" w:space="0" w:color="auto"/>
        <w:bottom w:val="none" w:sz="0" w:space="0" w:color="auto"/>
        <w:right w:val="none" w:sz="0" w:space="0" w:color="auto"/>
      </w:divBdr>
      <w:divsChild>
        <w:div w:id="1079447161">
          <w:marLeft w:val="-720"/>
          <w:marRight w:val="0"/>
          <w:marTop w:val="0"/>
          <w:marBottom w:val="0"/>
          <w:divBdr>
            <w:top w:val="none" w:sz="0" w:space="0" w:color="auto"/>
            <w:left w:val="none" w:sz="0" w:space="0" w:color="auto"/>
            <w:bottom w:val="none" w:sz="0" w:space="0" w:color="auto"/>
            <w:right w:val="none" w:sz="0" w:space="0" w:color="auto"/>
          </w:divBdr>
        </w:div>
      </w:divsChild>
    </w:div>
    <w:div w:id="952439804">
      <w:bodyDiv w:val="1"/>
      <w:marLeft w:val="0"/>
      <w:marRight w:val="0"/>
      <w:marTop w:val="0"/>
      <w:marBottom w:val="0"/>
      <w:divBdr>
        <w:top w:val="none" w:sz="0" w:space="0" w:color="auto"/>
        <w:left w:val="none" w:sz="0" w:space="0" w:color="auto"/>
        <w:bottom w:val="none" w:sz="0" w:space="0" w:color="auto"/>
        <w:right w:val="none" w:sz="0" w:space="0" w:color="auto"/>
      </w:divBdr>
      <w:divsChild>
        <w:div w:id="1326977744">
          <w:marLeft w:val="-720"/>
          <w:marRight w:val="0"/>
          <w:marTop w:val="0"/>
          <w:marBottom w:val="0"/>
          <w:divBdr>
            <w:top w:val="none" w:sz="0" w:space="0" w:color="auto"/>
            <w:left w:val="none" w:sz="0" w:space="0" w:color="auto"/>
            <w:bottom w:val="none" w:sz="0" w:space="0" w:color="auto"/>
            <w:right w:val="none" w:sz="0" w:space="0" w:color="auto"/>
          </w:divBdr>
        </w:div>
      </w:divsChild>
    </w:div>
    <w:div w:id="952637113">
      <w:bodyDiv w:val="1"/>
      <w:marLeft w:val="0"/>
      <w:marRight w:val="0"/>
      <w:marTop w:val="0"/>
      <w:marBottom w:val="0"/>
      <w:divBdr>
        <w:top w:val="none" w:sz="0" w:space="0" w:color="auto"/>
        <w:left w:val="none" w:sz="0" w:space="0" w:color="auto"/>
        <w:bottom w:val="none" w:sz="0" w:space="0" w:color="auto"/>
        <w:right w:val="none" w:sz="0" w:space="0" w:color="auto"/>
      </w:divBdr>
      <w:divsChild>
        <w:div w:id="1768694027">
          <w:marLeft w:val="-720"/>
          <w:marRight w:val="0"/>
          <w:marTop w:val="0"/>
          <w:marBottom w:val="0"/>
          <w:divBdr>
            <w:top w:val="none" w:sz="0" w:space="0" w:color="auto"/>
            <w:left w:val="none" w:sz="0" w:space="0" w:color="auto"/>
            <w:bottom w:val="none" w:sz="0" w:space="0" w:color="auto"/>
            <w:right w:val="none" w:sz="0" w:space="0" w:color="auto"/>
          </w:divBdr>
        </w:div>
      </w:divsChild>
    </w:div>
    <w:div w:id="957418516">
      <w:bodyDiv w:val="1"/>
      <w:marLeft w:val="0"/>
      <w:marRight w:val="0"/>
      <w:marTop w:val="0"/>
      <w:marBottom w:val="0"/>
      <w:divBdr>
        <w:top w:val="none" w:sz="0" w:space="0" w:color="auto"/>
        <w:left w:val="none" w:sz="0" w:space="0" w:color="auto"/>
        <w:bottom w:val="none" w:sz="0" w:space="0" w:color="auto"/>
        <w:right w:val="none" w:sz="0" w:space="0" w:color="auto"/>
      </w:divBdr>
      <w:divsChild>
        <w:div w:id="740981310">
          <w:marLeft w:val="0"/>
          <w:marRight w:val="0"/>
          <w:marTop w:val="0"/>
          <w:marBottom w:val="0"/>
          <w:divBdr>
            <w:top w:val="none" w:sz="0" w:space="0" w:color="auto"/>
            <w:left w:val="none" w:sz="0" w:space="0" w:color="auto"/>
            <w:bottom w:val="none" w:sz="0" w:space="0" w:color="auto"/>
            <w:right w:val="none" w:sz="0" w:space="0" w:color="auto"/>
          </w:divBdr>
          <w:divsChild>
            <w:div w:id="1386828934">
              <w:marLeft w:val="0"/>
              <w:marRight w:val="0"/>
              <w:marTop w:val="0"/>
              <w:marBottom w:val="0"/>
              <w:divBdr>
                <w:top w:val="none" w:sz="0" w:space="0" w:color="auto"/>
                <w:left w:val="none" w:sz="0" w:space="0" w:color="auto"/>
                <w:bottom w:val="none" w:sz="0" w:space="0" w:color="auto"/>
                <w:right w:val="none" w:sz="0" w:space="0" w:color="auto"/>
              </w:divBdr>
              <w:divsChild>
                <w:div w:id="11422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52827">
      <w:bodyDiv w:val="1"/>
      <w:marLeft w:val="0"/>
      <w:marRight w:val="0"/>
      <w:marTop w:val="0"/>
      <w:marBottom w:val="0"/>
      <w:divBdr>
        <w:top w:val="none" w:sz="0" w:space="0" w:color="auto"/>
        <w:left w:val="none" w:sz="0" w:space="0" w:color="auto"/>
        <w:bottom w:val="none" w:sz="0" w:space="0" w:color="auto"/>
        <w:right w:val="none" w:sz="0" w:space="0" w:color="auto"/>
      </w:divBdr>
    </w:div>
    <w:div w:id="968167990">
      <w:bodyDiv w:val="1"/>
      <w:marLeft w:val="0"/>
      <w:marRight w:val="0"/>
      <w:marTop w:val="0"/>
      <w:marBottom w:val="0"/>
      <w:divBdr>
        <w:top w:val="none" w:sz="0" w:space="0" w:color="auto"/>
        <w:left w:val="none" w:sz="0" w:space="0" w:color="auto"/>
        <w:bottom w:val="none" w:sz="0" w:space="0" w:color="auto"/>
        <w:right w:val="none" w:sz="0" w:space="0" w:color="auto"/>
      </w:divBdr>
      <w:divsChild>
        <w:div w:id="730422440">
          <w:marLeft w:val="-720"/>
          <w:marRight w:val="0"/>
          <w:marTop w:val="0"/>
          <w:marBottom w:val="0"/>
          <w:divBdr>
            <w:top w:val="none" w:sz="0" w:space="0" w:color="auto"/>
            <w:left w:val="none" w:sz="0" w:space="0" w:color="auto"/>
            <w:bottom w:val="none" w:sz="0" w:space="0" w:color="auto"/>
            <w:right w:val="none" w:sz="0" w:space="0" w:color="auto"/>
          </w:divBdr>
        </w:div>
      </w:divsChild>
    </w:div>
    <w:div w:id="999894562">
      <w:bodyDiv w:val="1"/>
      <w:marLeft w:val="0"/>
      <w:marRight w:val="0"/>
      <w:marTop w:val="0"/>
      <w:marBottom w:val="0"/>
      <w:divBdr>
        <w:top w:val="none" w:sz="0" w:space="0" w:color="auto"/>
        <w:left w:val="none" w:sz="0" w:space="0" w:color="auto"/>
        <w:bottom w:val="none" w:sz="0" w:space="0" w:color="auto"/>
        <w:right w:val="none" w:sz="0" w:space="0" w:color="auto"/>
      </w:divBdr>
    </w:div>
    <w:div w:id="1021470550">
      <w:bodyDiv w:val="1"/>
      <w:marLeft w:val="0"/>
      <w:marRight w:val="0"/>
      <w:marTop w:val="0"/>
      <w:marBottom w:val="0"/>
      <w:divBdr>
        <w:top w:val="none" w:sz="0" w:space="0" w:color="auto"/>
        <w:left w:val="none" w:sz="0" w:space="0" w:color="auto"/>
        <w:bottom w:val="none" w:sz="0" w:space="0" w:color="auto"/>
        <w:right w:val="none" w:sz="0" w:space="0" w:color="auto"/>
      </w:divBdr>
      <w:divsChild>
        <w:div w:id="157382866">
          <w:marLeft w:val="0"/>
          <w:marRight w:val="0"/>
          <w:marTop w:val="0"/>
          <w:marBottom w:val="0"/>
          <w:divBdr>
            <w:top w:val="none" w:sz="0" w:space="0" w:color="auto"/>
            <w:left w:val="none" w:sz="0" w:space="0" w:color="auto"/>
            <w:bottom w:val="none" w:sz="0" w:space="0" w:color="auto"/>
            <w:right w:val="none" w:sz="0" w:space="0" w:color="auto"/>
          </w:divBdr>
          <w:divsChild>
            <w:div w:id="1150442993">
              <w:marLeft w:val="0"/>
              <w:marRight w:val="0"/>
              <w:marTop w:val="0"/>
              <w:marBottom w:val="0"/>
              <w:divBdr>
                <w:top w:val="none" w:sz="0" w:space="0" w:color="auto"/>
                <w:left w:val="none" w:sz="0" w:space="0" w:color="auto"/>
                <w:bottom w:val="none" w:sz="0" w:space="0" w:color="auto"/>
                <w:right w:val="none" w:sz="0" w:space="0" w:color="auto"/>
              </w:divBdr>
              <w:divsChild>
                <w:div w:id="5825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3908">
      <w:bodyDiv w:val="1"/>
      <w:marLeft w:val="0"/>
      <w:marRight w:val="0"/>
      <w:marTop w:val="0"/>
      <w:marBottom w:val="0"/>
      <w:divBdr>
        <w:top w:val="none" w:sz="0" w:space="0" w:color="auto"/>
        <w:left w:val="none" w:sz="0" w:space="0" w:color="auto"/>
        <w:bottom w:val="none" w:sz="0" w:space="0" w:color="auto"/>
        <w:right w:val="none" w:sz="0" w:space="0" w:color="auto"/>
      </w:divBdr>
      <w:divsChild>
        <w:div w:id="1652520953">
          <w:marLeft w:val="-720"/>
          <w:marRight w:val="0"/>
          <w:marTop w:val="0"/>
          <w:marBottom w:val="0"/>
          <w:divBdr>
            <w:top w:val="none" w:sz="0" w:space="0" w:color="auto"/>
            <w:left w:val="none" w:sz="0" w:space="0" w:color="auto"/>
            <w:bottom w:val="none" w:sz="0" w:space="0" w:color="auto"/>
            <w:right w:val="none" w:sz="0" w:space="0" w:color="auto"/>
          </w:divBdr>
        </w:div>
      </w:divsChild>
    </w:div>
    <w:div w:id="1066798045">
      <w:bodyDiv w:val="1"/>
      <w:marLeft w:val="0"/>
      <w:marRight w:val="0"/>
      <w:marTop w:val="0"/>
      <w:marBottom w:val="0"/>
      <w:divBdr>
        <w:top w:val="none" w:sz="0" w:space="0" w:color="auto"/>
        <w:left w:val="none" w:sz="0" w:space="0" w:color="auto"/>
        <w:bottom w:val="none" w:sz="0" w:space="0" w:color="auto"/>
        <w:right w:val="none" w:sz="0" w:space="0" w:color="auto"/>
      </w:divBdr>
      <w:divsChild>
        <w:div w:id="1419061336">
          <w:marLeft w:val="-720"/>
          <w:marRight w:val="0"/>
          <w:marTop w:val="0"/>
          <w:marBottom w:val="0"/>
          <w:divBdr>
            <w:top w:val="none" w:sz="0" w:space="0" w:color="auto"/>
            <w:left w:val="none" w:sz="0" w:space="0" w:color="auto"/>
            <w:bottom w:val="none" w:sz="0" w:space="0" w:color="auto"/>
            <w:right w:val="none" w:sz="0" w:space="0" w:color="auto"/>
          </w:divBdr>
        </w:div>
      </w:divsChild>
    </w:div>
    <w:div w:id="1086267423">
      <w:bodyDiv w:val="1"/>
      <w:marLeft w:val="0"/>
      <w:marRight w:val="0"/>
      <w:marTop w:val="0"/>
      <w:marBottom w:val="0"/>
      <w:divBdr>
        <w:top w:val="none" w:sz="0" w:space="0" w:color="auto"/>
        <w:left w:val="none" w:sz="0" w:space="0" w:color="auto"/>
        <w:bottom w:val="none" w:sz="0" w:space="0" w:color="auto"/>
        <w:right w:val="none" w:sz="0" w:space="0" w:color="auto"/>
      </w:divBdr>
      <w:divsChild>
        <w:div w:id="490340754">
          <w:marLeft w:val="0"/>
          <w:marRight w:val="0"/>
          <w:marTop w:val="0"/>
          <w:marBottom w:val="0"/>
          <w:divBdr>
            <w:top w:val="none" w:sz="0" w:space="0" w:color="auto"/>
            <w:left w:val="none" w:sz="0" w:space="0" w:color="auto"/>
            <w:bottom w:val="none" w:sz="0" w:space="0" w:color="auto"/>
            <w:right w:val="none" w:sz="0" w:space="0" w:color="auto"/>
          </w:divBdr>
          <w:divsChild>
            <w:div w:id="1016929700">
              <w:marLeft w:val="0"/>
              <w:marRight w:val="0"/>
              <w:marTop w:val="0"/>
              <w:marBottom w:val="0"/>
              <w:divBdr>
                <w:top w:val="none" w:sz="0" w:space="0" w:color="auto"/>
                <w:left w:val="none" w:sz="0" w:space="0" w:color="auto"/>
                <w:bottom w:val="none" w:sz="0" w:space="0" w:color="auto"/>
                <w:right w:val="none" w:sz="0" w:space="0" w:color="auto"/>
              </w:divBdr>
              <w:divsChild>
                <w:div w:id="17878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9267">
      <w:bodyDiv w:val="1"/>
      <w:marLeft w:val="0"/>
      <w:marRight w:val="0"/>
      <w:marTop w:val="0"/>
      <w:marBottom w:val="0"/>
      <w:divBdr>
        <w:top w:val="none" w:sz="0" w:space="0" w:color="auto"/>
        <w:left w:val="none" w:sz="0" w:space="0" w:color="auto"/>
        <w:bottom w:val="none" w:sz="0" w:space="0" w:color="auto"/>
        <w:right w:val="none" w:sz="0" w:space="0" w:color="auto"/>
      </w:divBdr>
      <w:divsChild>
        <w:div w:id="1928998687">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66546571">
                  <w:marLeft w:val="0"/>
                  <w:marRight w:val="0"/>
                  <w:marTop w:val="0"/>
                  <w:marBottom w:val="0"/>
                  <w:divBdr>
                    <w:top w:val="none" w:sz="0" w:space="0" w:color="auto"/>
                    <w:left w:val="none" w:sz="0" w:space="0" w:color="auto"/>
                    <w:bottom w:val="none" w:sz="0" w:space="0" w:color="auto"/>
                    <w:right w:val="none" w:sz="0" w:space="0" w:color="auto"/>
                  </w:divBdr>
                  <w:divsChild>
                    <w:div w:id="13862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358899">
      <w:bodyDiv w:val="1"/>
      <w:marLeft w:val="0"/>
      <w:marRight w:val="0"/>
      <w:marTop w:val="0"/>
      <w:marBottom w:val="0"/>
      <w:divBdr>
        <w:top w:val="none" w:sz="0" w:space="0" w:color="auto"/>
        <w:left w:val="none" w:sz="0" w:space="0" w:color="auto"/>
        <w:bottom w:val="none" w:sz="0" w:space="0" w:color="auto"/>
        <w:right w:val="none" w:sz="0" w:space="0" w:color="auto"/>
      </w:divBdr>
      <w:divsChild>
        <w:div w:id="1979920406">
          <w:marLeft w:val="0"/>
          <w:marRight w:val="0"/>
          <w:marTop w:val="0"/>
          <w:marBottom w:val="0"/>
          <w:divBdr>
            <w:top w:val="none" w:sz="0" w:space="0" w:color="auto"/>
            <w:left w:val="none" w:sz="0" w:space="0" w:color="auto"/>
            <w:bottom w:val="none" w:sz="0" w:space="0" w:color="auto"/>
            <w:right w:val="none" w:sz="0" w:space="0" w:color="auto"/>
          </w:divBdr>
          <w:divsChild>
            <w:div w:id="207187832">
              <w:marLeft w:val="0"/>
              <w:marRight w:val="0"/>
              <w:marTop w:val="0"/>
              <w:marBottom w:val="0"/>
              <w:divBdr>
                <w:top w:val="none" w:sz="0" w:space="0" w:color="auto"/>
                <w:left w:val="none" w:sz="0" w:space="0" w:color="auto"/>
                <w:bottom w:val="none" w:sz="0" w:space="0" w:color="auto"/>
                <w:right w:val="none" w:sz="0" w:space="0" w:color="auto"/>
              </w:divBdr>
              <w:divsChild>
                <w:div w:id="947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5334">
      <w:bodyDiv w:val="1"/>
      <w:marLeft w:val="0"/>
      <w:marRight w:val="0"/>
      <w:marTop w:val="0"/>
      <w:marBottom w:val="0"/>
      <w:divBdr>
        <w:top w:val="none" w:sz="0" w:space="0" w:color="auto"/>
        <w:left w:val="none" w:sz="0" w:space="0" w:color="auto"/>
        <w:bottom w:val="none" w:sz="0" w:space="0" w:color="auto"/>
        <w:right w:val="none" w:sz="0" w:space="0" w:color="auto"/>
      </w:divBdr>
    </w:div>
    <w:div w:id="1101946757">
      <w:bodyDiv w:val="1"/>
      <w:marLeft w:val="0"/>
      <w:marRight w:val="0"/>
      <w:marTop w:val="0"/>
      <w:marBottom w:val="0"/>
      <w:divBdr>
        <w:top w:val="none" w:sz="0" w:space="0" w:color="auto"/>
        <w:left w:val="none" w:sz="0" w:space="0" w:color="auto"/>
        <w:bottom w:val="none" w:sz="0" w:space="0" w:color="auto"/>
        <w:right w:val="none" w:sz="0" w:space="0" w:color="auto"/>
      </w:divBdr>
      <w:divsChild>
        <w:div w:id="1483044427">
          <w:marLeft w:val="0"/>
          <w:marRight w:val="0"/>
          <w:marTop w:val="0"/>
          <w:marBottom w:val="0"/>
          <w:divBdr>
            <w:top w:val="none" w:sz="0" w:space="0" w:color="auto"/>
            <w:left w:val="none" w:sz="0" w:space="0" w:color="auto"/>
            <w:bottom w:val="none" w:sz="0" w:space="0" w:color="auto"/>
            <w:right w:val="none" w:sz="0" w:space="0" w:color="auto"/>
          </w:divBdr>
          <w:divsChild>
            <w:div w:id="1237282629">
              <w:marLeft w:val="0"/>
              <w:marRight w:val="0"/>
              <w:marTop w:val="0"/>
              <w:marBottom w:val="0"/>
              <w:divBdr>
                <w:top w:val="none" w:sz="0" w:space="0" w:color="auto"/>
                <w:left w:val="none" w:sz="0" w:space="0" w:color="auto"/>
                <w:bottom w:val="none" w:sz="0" w:space="0" w:color="auto"/>
                <w:right w:val="none" w:sz="0" w:space="0" w:color="auto"/>
              </w:divBdr>
              <w:divsChild>
                <w:div w:id="6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88278">
      <w:bodyDiv w:val="1"/>
      <w:marLeft w:val="0"/>
      <w:marRight w:val="0"/>
      <w:marTop w:val="0"/>
      <w:marBottom w:val="0"/>
      <w:divBdr>
        <w:top w:val="none" w:sz="0" w:space="0" w:color="auto"/>
        <w:left w:val="none" w:sz="0" w:space="0" w:color="auto"/>
        <w:bottom w:val="none" w:sz="0" w:space="0" w:color="auto"/>
        <w:right w:val="none" w:sz="0" w:space="0" w:color="auto"/>
      </w:divBdr>
    </w:div>
    <w:div w:id="1128626393">
      <w:bodyDiv w:val="1"/>
      <w:marLeft w:val="0"/>
      <w:marRight w:val="0"/>
      <w:marTop w:val="0"/>
      <w:marBottom w:val="0"/>
      <w:divBdr>
        <w:top w:val="none" w:sz="0" w:space="0" w:color="auto"/>
        <w:left w:val="none" w:sz="0" w:space="0" w:color="auto"/>
        <w:bottom w:val="none" w:sz="0" w:space="0" w:color="auto"/>
        <w:right w:val="none" w:sz="0" w:space="0" w:color="auto"/>
      </w:divBdr>
    </w:div>
    <w:div w:id="1133326598">
      <w:bodyDiv w:val="1"/>
      <w:marLeft w:val="0"/>
      <w:marRight w:val="0"/>
      <w:marTop w:val="0"/>
      <w:marBottom w:val="0"/>
      <w:divBdr>
        <w:top w:val="none" w:sz="0" w:space="0" w:color="auto"/>
        <w:left w:val="none" w:sz="0" w:space="0" w:color="auto"/>
        <w:bottom w:val="none" w:sz="0" w:space="0" w:color="auto"/>
        <w:right w:val="none" w:sz="0" w:space="0" w:color="auto"/>
      </w:divBdr>
    </w:div>
    <w:div w:id="1146124310">
      <w:bodyDiv w:val="1"/>
      <w:marLeft w:val="0"/>
      <w:marRight w:val="0"/>
      <w:marTop w:val="0"/>
      <w:marBottom w:val="0"/>
      <w:divBdr>
        <w:top w:val="none" w:sz="0" w:space="0" w:color="auto"/>
        <w:left w:val="none" w:sz="0" w:space="0" w:color="auto"/>
        <w:bottom w:val="none" w:sz="0" w:space="0" w:color="auto"/>
        <w:right w:val="none" w:sz="0" w:space="0" w:color="auto"/>
      </w:divBdr>
      <w:divsChild>
        <w:div w:id="1373268924">
          <w:marLeft w:val="-720"/>
          <w:marRight w:val="0"/>
          <w:marTop w:val="0"/>
          <w:marBottom w:val="0"/>
          <w:divBdr>
            <w:top w:val="none" w:sz="0" w:space="0" w:color="auto"/>
            <w:left w:val="none" w:sz="0" w:space="0" w:color="auto"/>
            <w:bottom w:val="none" w:sz="0" w:space="0" w:color="auto"/>
            <w:right w:val="none" w:sz="0" w:space="0" w:color="auto"/>
          </w:divBdr>
        </w:div>
      </w:divsChild>
    </w:div>
    <w:div w:id="1176918723">
      <w:bodyDiv w:val="1"/>
      <w:marLeft w:val="0"/>
      <w:marRight w:val="0"/>
      <w:marTop w:val="0"/>
      <w:marBottom w:val="0"/>
      <w:divBdr>
        <w:top w:val="none" w:sz="0" w:space="0" w:color="auto"/>
        <w:left w:val="none" w:sz="0" w:space="0" w:color="auto"/>
        <w:bottom w:val="none" w:sz="0" w:space="0" w:color="auto"/>
        <w:right w:val="none" w:sz="0" w:space="0" w:color="auto"/>
      </w:divBdr>
    </w:div>
    <w:div w:id="1184126327">
      <w:bodyDiv w:val="1"/>
      <w:marLeft w:val="0"/>
      <w:marRight w:val="0"/>
      <w:marTop w:val="0"/>
      <w:marBottom w:val="0"/>
      <w:divBdr>
        <w:top w:val="none" w:sz="0" w:space="0" w:color="auto"/>
        <w:left w:val="none" w:sz="0" w:space="0" w:color="auto"/>
        <w:bottom w:val="none" w:sz="0" w:space="0" w:color="auto"/>
        <w:right w:val="none" w:sz="0" w:space="0" w:color="auto"/>
      </w:divBdr>
      <w:divsChild>
        <w:div w:id="1501315195">
          <w:marLeft w:val="-720"/>
          <w:marRight w:val="0"/>
          <w:marTop w:val="0"/>
          <w:marBottom w:val="0"/>
          <w:divBdr>
            <w:top w:val="none" w:sz="0" w:space="0" w:color="auto"/>
            <w:left w:val="none" w:sz="0" w:space="0" w:color="auto"/>
            <w:bottom w:val="none" w:sz="0" w:space="0" w:color="auto"/>
            <w:right w:val="none" w:sz="0" w:space="0" w:color="auto"/>
          </w:divBdr>
        </w:div>
      </w:divsChild>
    </w:div>
    <w:div w:id="1192718507">
      <w:bodyDiv w:val="1"/>
      <w:marLeft w:val="0"/>
      <w:marRight w:val="0"/>
      <w:marTop w:val="0"/>
      <w:marBottom w:val="0"/>
      <w:divBdr>
        <w:top w:val="none" w:sz="0" w:space="0" w:color="auto"/>
        <w:left w:val="none" w:sz="0" w:space="0" w:color="auto"/>
        <w:bottom w:val="none" w:sz="0" w:space="0" w:color="auto"/>
        <w:right w:val="none" w:sz="0" w:space="0" w:color="auto"/>
      </w:divBdr>
    </w:div>
    <w:div w:id="1194659932">
      <w:bodyDiv w:val="1"/>
      <w:marLeft w:val="0"/>
      <w:marRight w:val="0"/>
      <w:marTop w:val="0"/>
      <w:marBottom w:val="0"/>
      <w:divBdr>
        <w:top w:val="none" w:sz="0" w:space="0" w:color="auto"/>
        <w:left w:val="none" w:sz="0" w:space="0" w:color="auto"/>
        <w:bottom w:val="none" w:sz="0" w:space="0" w:color="auto"/>
        <w:right w:val="none" w:sz="0" w:space="0" w:color="auto"/>
      </w:divBdr>
    </w:div>
    <w:div w:id="1199470662">
      <w:bodyDiv w:val="1"/>
      <w:marLeft w:val="0"/>
      <w:marRight w:val="0"/>
      <w:marTop w:val="0"/>
      <w:marBottom w:val="0"/>
      <w:divBdr>
        <w:top w:val="none" w:sz="0" w:space="0" w:color="auto"/>
        <w:left w:val="none" w:sz="0" w:space="0" w:color="auto"/>
        <w:bottom w:val="none" w:sz="0" w:space="0" w:color="auto"/>
        <w:right w:val="none" w:sz="0" w:space="0" w:color="auto"/>
      </w:divBdr>
    </w:div>
    <w:div w:id="1211385044">
      <w:bodyDiv w:val="1"/>
      <w:marLeft w:val="0"/>
      <w:marRight w:val="0"/>
      <w:marTop w:val="0"/>
      <w:marBottom w:val="0"/>
      <w:divBdr>
        <w:top w:val="none" w:sz="0" w:space="0" w:color="auto"/>
        <w:left w:val="none" w:sz="0" w:space="0" w:color="auto"/>
        <w:bottom w:val="none" w:sz="0" w:space="0" w:color="auto"/>
        <w:right w:val="none" w:sz="0" w:space="0" w:color="auto"/>
      </w:divBdr>
      <w:divsChild>
        <w:div w:id="751243661">
          <w:marLeft w:val="0"/>
          <w:marRight w:val="0"/>
          <w:marTop w:val="0"/>
          <w:marBottom w:val="0"/>
          <w:divBdr>
            <w:top w:val="none" w:sz="0" w:space="0" w:color="auto"/>
            <w:left w:val="none" w:sz="0" w:space="0" w:color="auto"/>
            <w:bottom w:val="none" w:sz="0" w:space="0" w:color="auto"/>
            <w:right w:val="none" w:sz="0" w:space="0" w:color="auto"/>
          </w:divBdr>
          <w:divsChild>
            <w:div w:id="384719155">
              <w:marLeft w:val="0"/>
              <w:marRight w:val="0"/>
              <w:marTop w:val="0"/>
              <w:marBottom w:val="0"/>
              <w:divBdr>
                <w:top w:val="none" w:sz="0" w:space="0" w:color="auto"/>
                <w:left w:val="none" w:sz="0" w:space="0" w:color="auto"/>
                <w:bottom w:val="none" w:sz="0" w:space="0" w:color="auto"/>
                <w:right w:val="none" w:sz="0" w:space="0" w:color="auto"/>
              </w:divBdr>
              <w:divsChild>
                <w:div w:id="11522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93033">
      <w:bodyDiv w:val="1"/>
      <w:marLeft w:val="0"/>
      <w:marRight w:val="0"/>
      <w:marTop w:val="0"/>
      <w:marBottom w:val="0"/>
      <w:divBdr>
        <w:top w:val="none" w:sz="0" w:space="0" w:color="auto"/>
        <w:left w:val="none" w:sz="0" w:space="0" w:color="auto"/>
        <w:bottom w:val="none" w:sz="0" w:space="0" w:color="auto"/>
        <w:right w:val="none" w:sz="0" w:space="0" w:color="auto"/>
      </w:divBdr>
      <w:divsChild>
        <w:div w:id="1405687438">
          <w:marLeft w:val="-720"/>
          <w:marRight w:val="0"/>
          <w:marTop w:val="0"/>
          <w:marBottom w:val="0"/>
          <w:divBdr>
            <w:top w:val="none" w:sz="0" w:space="0" w:color="auto"/>
            <w:left w:val="none" w:sz="0" w:space="0" w:color="auto"/>
            <w:bottom w:val="none" w:sz="0" w:space="0" w:color="auto"/>
            <w:right w:val="none" w:sz="0" w:space="0" w:color="auto"/>
          </w:divBdr>
        </w:div>
      </w:divsChild>
    </w:div>
    <w:div w:id="1249001217">
      <w:bodyDiv w:val="1"/>
      <w:marLeft w:val="0"/>
      <w:marRight w:val="0"/>
      <w:marTop w:val="0"/>
      <w:marBottom w:val="0"/>
      <w:divBdr>
        <w:top w:val="none" w:sz="0" w:space="0" w:color="auto"/>
        <w:left w:val="none" w:sz="0" w:space="0" w:color="auto"/>
        <w:bottom w:val="none" w:sz="0" w:space="0" w:color="auto"/>
        <w:right w:val="none" w:sz="0" w:space="0" w:color="auto"/>
      </w:divBdr>
      <w:divsChild>
        <w:div w:id="2129427139">
          <w:marLeft w:val="0"/>
          <w:marRight w:val="0"/>
          <w:marTop w:val="0"/>
          <w:marBottom w:val="0"/>
          <w:divBdr>
            <w:top w:val="none" w:sz="0" w:space="0" w:color="auto"/>
            <w:left w:val="none" w:sz="0" w:space="0" w:color="auto"/>
            <w:bottom w:val="none" w:sz="0" w:space="0" w:color="auto"/>
            <w:right w:val="none" w:sz="0" w:space="0" w:color="auto"/>
          </w:divBdr>
          <w:divsChild>
            <w:div w:id="1744907754">
              <w:marLeft w:val="0"/>
              <w:marRight w:val="0"/>
              <w:marTop w:val="0"/>
              <w:marBottom w:val="0"/>
              <w:divBdr>
                <w:top w:val="none" w:sz="0" w:space="0" w:color="auto"/>
                <w:left w:val="none" w:sz="0" w:space="0" w:color="auto"/>
                <w:bottom w:val="none" w:sz="0" w:space="0" w:color="auto"/>
                <w:right w:val="none" w:sz="0" w:space="0" w:color="auto"/>
              </w:divBdr>
              <w:divsChild>
                <w:div w:id="20345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2514">
      <w:bodyDiv w:val="1"/>
      <w:marLeft w:val="0"/>
      <w:marRight w:val="0"/>
      <w:marTop w:val="0"/>
      <w:marBottom w:val="0"/>
      <w:divBdr>
        <w:top w:val="none" w:sz="0" w:space="0" w:color="auto"/>
        <w:left w:val="none" w:sz="0" w:space="0" w:color="auto"/>
        <w:bottom w:val="none" w:sz="0" w:space="0" w:color="auto"/>
        <w:right w:val="none" w:sz="0" w:space="0" w:color="auto"/>
      </w:divBdr>
      <w:divsChild>
        <w:div w:id="1048459156">
          <w:marLeft w:val="-720"/>
          <w:marRight w:val="0"/>
          <w:marTop w:val="0"/>
          <w:marBottom w:val="0"/>
          <w:divBdr>
            <w:top w:val="none" w:sz="0" w:space="0" w:color="auto"/>
            <w:left w:val="none" w:sz="0" w:space="0" w:color="auto"/>
            <w:bottom w:val="none" w:sz="0" w:space="0" w:color="auto"/>
            <w:right w:val="none" w:sz="0" w:space="0" w:color="auto"/>
          </w:divBdr>
        </w:div>
      </w:divsChild>
    </w:div>
    <w:div w:id="1265380005">
      <w:bodyDiv w:val="1"/>
      <w:marLeft w:val="0"/>
      <w:marRight w:val="0"/>
      <w:marTop w:val="0"/>
      <w:marBottom w:val="0"/>
      <w:divBdr>
        <w:top w:val="none" w:sz="0" w:space="0" w:color="auto"/>
        <w:left w:val="none" w:sz="0" w:space="0" w:color="auto"/>
        <w:bottom w:val="none" w:sz="0" w:space="0" w:color="auto"/>
        <w:right w:val="none" w:sz="0" w:space="0" w:color="auto"/>
      </w:divBdr>
    </w:div>
    <w:div w:id="1272010163">
      <w:bodyDiv w:val="1"/>
      <w:marLeft w:val="0"/>
      <w:marRight w:val="0"/>
      <w:marTop w:val="0"/>
      <w:marBottom w:val="0"/>
      <w:divBdr>
        <w:top w:val="none" w:sz="0" w:space="0" w:color="auto"/>
        <w:left w:val="none" w:sz="0" w:space="0" w:color="auto"/>
        <w:bottom w:val="none" w:sz="0" w:space="0" w:color="auto"/>
        <w:right w:val="none" w:sz="0" w:space="0" w:color="auto"/>
      </w:divBdr>
    </w:div>
    <w:div w:id="1308629033">
      <w:bodyDiv w:val="1"/>
      <w:marLeft w:val="0"/>
      <w:marRight w:val="0"/>
      <w:marTop w:val="0"/>
      <w:marBottom w:val="0"/>
      <w:divBdr>
        <w:top w:val="none" w:sz="0" w:space="0" w:color="auto"/>
        <w:left w:val="none" w:sz="0" w:space="0" w:color="auto"/>
        <w:bottom w:val="none" w:sz="0" w:space="0" w:color="auto"/>
        <w:right w:val="none" w:sz="0" w:space="0" w:color="auto"/>
      </w:divBdr>
      <w:divsChild>
        <w:div w:id="231744770">
          <w:marLeft w:val="0"/>
          <w:marRight w:val="0"/>
          <w:marTop w:val="0"/>
          <w:marBottom w:val="0"/>
          <w:divBdr>
            <w:top w:val="none" w:sz="0" w:space="0" w:color="auto"/>
            <w:left w:val="none" w:sz="0" w:space="0" w:color="auto"/>
            <w:bottom w:val="none" w:sz="0" w:space="0" w:color="auto"/>
            <w:right w:val="none" w:sz="0" w:space="0" w:color="auto"/>
          </w:divBdr>
          <w:divsChild>
            <w:div w:id="1836795822">
              <w:marLeft w:val="0"/>
              <w:marRight w:val="0"/>
              <w:marTop w:val="0"/>
              <w:marBottom w:val="0"/>
              <w:divBdr>
                <w:top w:val="none" w:sz="0" w:space="0" w:color="auto"/>
                <w:left w:val="none" w:sz="0" w:space="0" w:color="auto"/>
                <w:bottom w:val="none" w:sz="0" w:space="0" w:color="auto"/>
                <w:right w:val="none" w:sz="0" w:space="0" w:color="auto"/>
              </w:divBdr>
              <w:divsChild>
                <w:div w:id="671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3441">
      <w:bodyDiv w:val="1"/>
      <w:marLeft w:val="0"/>
      <w:marRight w:val="0"/>
      <w:marTop w:val="0"/>
      <w:marBottom w:val="0"/>
      <w:divBdr>
        <w:top w:val="none" w:sz="0" w:space="0" w:color="auto"/>
        <w:left w:val="none" w:sz="0" w:space="0" w:color="auto"/>
        <w:bottom w:val="none" w:sz="0" w:space="0" w:color="auto"/>
        <w:right w:val="none" w:sz="0" w:space="0" w:color="auto"/>
      </w:divBdr>
    </w:div>
    <w:div w:id="1340422797">
      <w:bodyDiv w:val="1"/>
      <w:marLeft w:val="0"/>
      <w:marRight w:val="0"/>
      <w:marTop w:val="0"/>
      <w:marBottom w:val="0"/>
      <w:divBdr>
        <w:top w:val="none" w:sz="0" w:space="0" w:color="auto"/>
        <w:left w:val="none" w:sz="0" w:space="0" w:color="auto"/>
        <w:bottom w:val="none" w:sz="0" w:space="0" w:color="auto"/>
        <w:right w:val="none" w:sz="0" w:space="0" w:color="auto"/>
      </w:divBdr>
      <w:divsChild>
        <w:div w:id="504516355">
          <w:marLeft w:val="-720"/>
          <w:marRight w:val="0"/>
          <w:marTop w:val="0"/>
          <w:marBottom w:val="0"/>
          <w:divBdr>
            <w:top w:val="none" w:sz="0" w:space="0" w:color="auto"/>
            <w:left w:val="none" w:sz="0" w:space="0" w:color="auto"/>
            <w:bottom w:val="none" w:sz="0" w:space="0" w:color="auto"/>
            <w:right w:val="none" w:sz="0" w:space="0" w:color="auto"/>
          </w:divBdr>
        </w:div>
      </w:divsChild>
    </w:div>
    <w:div w:id="1343164188">
      <w:bodyDiv w:val="1"/>
      <w:marLeft w:val="0"/>
      <w:marRight w:val="0"/>
      <w:marTop w:val="0"/>
      <w:marBottom w:val="0"/>
      <w:divBdr>
        <w:top w:val="none" w:sz="0" w:space="0" w:color="auto"/>
        <w:left w:val="none" w:sz="0" w:space="0" w:color="auto"/>
        <w:bottom w:val="none" w:sz="0" w:space="0" w:color="auto"/>
        <w:right w:val="none" w:sz="0" w:space="0" w:color="auto"/>
      </w:divBdr>
    </w:div>
    <w:div w:id="1366831752">
      <w:bodyDiv w:val="1"/>
      <w:marLeft w:val="0"/>
      <w:marRight w:val="0"/>
      <w:marTop w:val="0"/>
      <w:marBottom w:val="0"/>
      <w:divBdr>
        <w:top w:val="none" w:sz="0" w:space="0" w:color="auto"/>
        <w:left w:val="none" w:sz="0" w:space="0" w:color="auto"/>
        <w:bottom w:val="none" w:sz="0" w:space="0" w:color="auto"/>
        <w:right w:val="none" w:sz="0" w:space="0" w:color="auto"/>
      </w:divBdr>
    </w:div>
    <w:div w:id="1387535602">
      <w:bodyDiv w:val="1"/>
      <w:marLeft w:val="0"/>
      <w:marRight w:val="0"/>
      <w:marTop w:val="0"/>
      <w:marBottom w:val="0"/>
      <w:divBdr>
        <w:top w:val="none" w:sz="0" w:space="0" w:color="auto"/>
        <w:left w:val="none" w:sz="0" w:space="0" w:color="auto"/>
        <w:bottom w:val="none" w:sz="0" w:space="0" w:color="auto"/>
        <w:right w:val="none" w:sz="0" w:space="0" w:color="auto"/>
      </w:divBdr>
    </w:div>
    <w:div w:id="1405255043">
      <w:bodyDiv w:val="1"/>
      <w:marLeft w:val="0"/>
      <w:marRight w:val="0"/>
      <w:marTop w:val="0"/>
      <w:marBottom w:val="0"/>
      <w:divBdr>
        <w:top w:val="none" w:sz="0" w:space="0" w:color="auto"/>
        <w:left w:val="none" w:sz="0" w:space="0" w:color="auto"/>
        <w:bottom w:val="none" w:sz="0" w:space="0" w:color="auto"/>
        <w:right w:val="none" w:sz="0" w:space="0" w:color="auto"/>
      </w:divBdr>
      <w:divsChild>
        <w:div w:id="19598462">
          <w:marLeft w:val="0"/>
          <w:marRight w:val="0"/>
          <w:marTop w:val="0"/>
          <w:marBottom w:val="0"/>
          <w:divBdr>
            <w:top w:val="none" w:sz="0" w:space="0" w:color="auto"/>
            <w:left w:val="none" w:sz="0" w:space="0" w:color="auto"/>
            <w:bottom w:val="none" w:sz="0" w:space="0" w:color="auto"/>
            <w:right w:val="none" w:sz="0" w:space="0" w:color="auto"/>
          </w:divBdr>
          <w:divsChild>
            <w:div w:id="1674870656">
              <w:marLeft w:val="0"/>
              <w:marRight w:val="0"/>
              <w:marTop w:val="0"/>
              <w:marBottom w:val="0"/>
              <w:divBdr>
                <w:top w:val="none" w:sz="0" w:space="0" w:color="auto"/>
                <w:left w:val="none" w:sz="0" w:space="0" w:color="auto"/>
                <w:bottom w:val="none" w:sz="0" w:space="0" w:color="auto"/>
                <w:right w:val="none" w:sz="0" w:space="0" w:color="auto"/>
              </w:divBdr>
              <w:divsChild>
                <w:div w:id="8907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0600">
      <w:bodyDiv w:val="1"/>
      <w:marLeft w:val="0"/>
      <w:marRight w:val="0"/>
      <w:marTop w:val="0"/>
      <w:marBottom w:val="0"/>
      <w:divBdr>
        <w:top w:val="none" w:sz="0" w:space="0" w:color="auto"/>
        <w:left w:val="none" w:sz="0" w:space="0" w:color="auto"/>
        <w:bottom w:val="none" w:sz="0" w:space="0" w:color="auto"/>
        <w:right w:val="none" w:sz="0" w:space="0" w:color="auto"/>
      </w:divBdr>
      <w:divsChild>
        <w:div w:id="2060202386">
          <w:marLeft w:val="-720"/>
          <w:marRight w:val="0"/>
          <w:marTop w:val="0"/>
          <w:marBottom w:val="0"/>
          <w:divBdr>
            <w:top w:val="none" w:sz="0" w:space="0" w:color="auto"/>
            <w:left w:val="none" w:sz="0" w:space="0" w:color="auto"/>
            <w:bottom w:val="none" w:sz="0" w:space="0" w:color="auto"/>
            <w:right w:val="none" w:sz="0" w:space="0" w:color="auto"/>
          </w:divBdr>
        </w:div>
      </w:divsChild>
    </w:div>
    <w:div w:id="1473332749">
      <w:bodyDiv w:val="1"/>
      <w:marLeft w:val="0"/>
      <w:marRight w:val="0"/>
      <w:marTop w:val="0"/>
      <w:marBottom w:val="0"/>
      <w:divBdr>
        <w:top w:val="none" w:sz="0" w:space="0" w:color="auto"/>
        <w:left w:val="none" w:sz="0" w:space="0" w:color="auto"/>
        <w:bottom w:val="none" w:sz="0" w:space="0" w:color="auto"/>
        <w:right w:val="none" w:sz="0" w:space="0" w:color="auto"/>
      </w:divBdr>
    </w:div>
    <w:div w:id="1481114195">
      <w:bodyDiv w:val="1"/>
      <w:marLeft w:val="0"/>
      <w:marRight w:val="0"/>
      <w:marTop w:val="0"/>
      <w:marBottom w:val="0"/>
      <w:divBdr>
        <w:top w:val="none" w:sz="0" w:space="0" w:color="auto"/>
        <w:left w:val="none" w:sz="0" w:space="0" w:color="auto"/>
        <w:bottom w:val="none" w:sz="0" w:space="0" w:color="auto"/>
        <w:right w:val="none" w:sz="0" w:space="0" w:color="auto"/>
      </w:divBdr>
    </w:div>
    <w:div w:id="151206058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58">
          <w:marLeft w:val="0"/>
          <w:marRight w:val="0"/>
          <w:marTop w:val="0"/>
          <w:marBottom w:val="0"/>
          <w:divBdr>
            <w:top w:val="none" w:sz="0" w:space="0" w:color="auto"/>
            <w:left w:val="none" w:sz="0" w:space="0" w:color="auto"/>
            <w:bottom w:val="none" w:sz="0" w:space="0" w:color="auto"/>
            <w:right w:val="none" w:sz="0" w:space="0" w:color="auto"/>
          </w:divBdr>
          <w:divsChild>
            <w:div w:id="1762681445">
              <w:marLeft w:val="0"/>
              <w:marRight w:val="0"/>
              <w:marTop w:val="0"/>
              <w:marBottom w:val="0"/>
              <w:divBdr>
                <w:top w:val="none" w:sz="0" w:space="0" w:color="auto"/>
                <w:left w:val="none" w:sz="0" w:space="0" w:color="auto"/>
                <w:bottom w:val="none" w:sz="0" w:space="0" w:color="auto"/>
                <w:right w:val="none" w:sz="0" w:space="0" w:color="auto"/>
              </w:divBdr>
              <w:divsChild>
                <w:div w:id="14174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1026">
      <w:bodyDiv w:val="1"/>
      <w:marLeft w:val="0"/>
      <w:marRight w:val="0"/>
      <w:marTop w:val="0"/>
      <w:marBottom w:val="0"/>
      <w:divBdr>
        <w:top w:val="none" w:sz="0" w:space="0" w:color="auto"/>
        <w:left w:val="none" w:sz="0" w:space="0" w:color="auto"/>
        <w:bottom w:val="none" w:sz="0" w:space="0" w:color="auto"/>
        <w:right w:val="none" w:sz="0" w:space="0" w:color="auto"/>
      </w:divBdr>
    </w:div>
    <w:div w:id="151762237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02">
          <w:marLeft w:val="0"/>
          <w:marRight w:val="0"/>
          <w:marTop w:val="0"/>
          <w:marBottom w:val="0"/>
          <w:divBdr>
            <w:top w:val="none" w:sz="0" w:space="0" w:color="auto"/>
            <w:left w:val="none" w:sz="0" w:space="0" w:color="auto"/>
            <w:bottom w:val="none" w:sz="0" w:space="0" w:color="auto"/>
            <w:right w:val="none" w:sz="0" w:space="0" w:color="auto"/>
          </w:divBdr>
          <w:divsChild>
            <w:div w:id="72363465">
              <w:marLeft w:val="0"/>
              <w:marRight w:val="0"/>
              <w:marTop w:val="0"/>
              <w:marBottom w:val="0"/>
              <w:divBdr>
                <w:top w:val="none" w:sz="0" w:space="0" w:color="auto"/>
                <w:left w:val="none" w:sz="0" w:space="0" w:color="auto"/>
                <w:bottom w:val="none" w:sz="0" w:space="0" w:color="auto"/>
                <w:right w:val="none" w:sz="0" w:space="0" w:color="auto"/>
              </w:divBdr>
              <w:divsChild>
                <w:div w:id="17977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31516">
      <w:bodyDiv w:val="1"/>
      <w:marLeft w:val="0"/>
      <w:marRight w:val="0"/>
      <w:marTop w:val="0"/>
      <w:marBottom w:val="0"/>
      <w:divBdr>
        <w:top w:val="none" w:sz="0" w:space="0" w:color="auto"/>
        <w:left w:val="none" w:sz="0" w:space="0" w:color="auto"/>
        <w:bottom w:val="none" w:sz="0" w:space="0" w:color="auto"/>
        <w:right w:val="none" w:sz="0" w:space="0" w:color="auto"/>
      </w:divBdr>
      <w:divsChild>
        <w:div w:id="1322930998">
          <w:marLeft w:val="0"/>
          <w:marRight w:val="0"/>
          <w:marTop w:val="0"/>
          <w:marBottom w:val="0"/>
          <w:divBdr>
            <w:top w:val="none" w:sz="0" w:space="0" w:color="auto"/>
            <w:left w:val="none" w:sz="0" w:space="0" w:color="auto"/>
            <w:bottom w:val="none" w:sz="0" w:space="0" w:color="auto"/>
            <w:right w:val="none" w:sz="0" w:space="0" w:color="auto"/>
          </w:divBdr>
          <w:divsChild>
            <w:div w:id="1817602508">
              <w:marLeft w:val="0"/>
              <w:marRight w:val="0"/>
              <w:marTop w:val="0"/>
              <w:marBottom w:val="0"/>
              <w:divBdr>
                <w:top w:val="none" w:sz="0" w:space="0" w:color="auto"/>
                <w:left w:val="none" w:sz="0" w:space="0" w:color="auto"/>
                <w:bottom w:val="none" w:sz="0" w:space="0" w:color="auto"/>
                <w:right w:val="none" w:sz="0" w:space="0" w:color="auto"/>
              </w:divBdr>
              <w:divsChild>
                <w:div w:id="763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42542">
      <w:bodyDiv w:val="1"/>
      <w:marLeft w:val="0"/>
      <w:marRight w:val="0"/>
      <w:marTop w:val="0"/>
      <w:marBottom w:val="0"/>
      <w:divBdr>
        <w:top w:val="none" w:sz="0" w:space="0" w:color="auto"/>
        <w:left w:val="none" w:sz="0" w:space="0" w:color="auto"/>
        <w:bottom w:val="none" w:sz="0" w:space="0" w:color="auto"/>
        <w:right w:val="none" w:sz="0" w:space="0" w:color="auto"/>
      </w:divBdr>
      <w:divsChild>
        <w:div w:id="546916720">
          <w:marLeft w:val="-720"/>
          <w:marRight w:val="0"/>
          <w:marTop w:val="0"/>
          <w:marBottom w:val="0"/>
          <w:divBdr>
            <w:top w:val="none" w:sz="0" w:space="0" w:color="auto"/>
            <w:left w:val="none" w:sz="0" w:space="0" w:color="auto"/>
            <w:bottom w:val="none" w:sz="0" w:space="0" w:color="auto"/>
            <w:right w:val="none" w:sz="0" w:space="0" w:color="auto"/>
          </w:divBdr>
        </w:div>
      </w:divsChild>
    </w:div>
    <w:div w:id="1568884407">
      <w:bodyDiv w:val="1"/>
      <w:marLeft w:val="0"/>
      <w:marRight w:val="0"/>
      <w:marTop w:val="0"/>
      <w:marBottom w:val="0"/>
      <w:divBdr>
        <w:top w:val="none" w:sz="0" w:space="0" w:color="auto"/>
        <w:left w:val="none" w:sz="0" w:space="0" w:color="auto"/>
        <w:bottom w:val="none" w:sz="0" w:space="0" w:color="auto"/>
        <w:right w:val="none" w:sz="0" w:space="0" w:color="auto"/>
      </w:divBdr>
    </w:div>
    <w:div w:id="1594895429">
      <w:bodyDiv w:val="1"/>
      <w:marLeft w:val="0"/>
      <w:marRight w:val="0"/>
      <w:marTop w:val="0"/>
      <w:marBottom w:val="0"/>
      <w:divBdr>
        <w:top w:val="none" w:sz="0" w:space="0" w:color="auto"/>
        <w:left w:val="none" w:sz="0" w:space="0" w:color="auto"/>
        <w:bottom w:val="none" w:sz="0" w:space="0" w:color="auto"/>
        <w:right w:val="none" w:sz="0" w:space="0" w:color="auto"/>
      </w:divBdr>
      <w:divsChild>
        <w:div w:id="859273310">
          <w:marLeft w:val="-720"/>
          <w:marRight w:val="0"/>
          <w:marTop w:val="0"/>
          <w:marBottom w:val="0"/>
          <w:divBdr>
            <w:top w:val="none" w:sz="0" w:space="0" w:color="auto"/>
            <w:left w:val="none" w:sz="0" w:space="0" w:color="auto"/>
            <w:bottom w:val="none" w:sz="0" w:space="0" w:color="auto"/>
            <w:right w:val="none" w:sz="0" w:space="0" w:color="auto"/>
          </w:divBdr>
        </w:div>
      </w:divsChild>
    </w:div>
    <w:div w:id="1596477737">
      <w:bodyDiv w:val="1"/>
      <w:marLeft w:val="0"/>
      <w:marRight w:val="0"/>
      <w:marTop w:val="0"/>
      <w:marBottom w:val="0"/>
      <w:divBdr>
        <w:top w:val="none" w:sz="0" w:space="0" w:color="auto"/>
        <w:left w:val="none" w:sz="0" w:space="0" w:color="auto"/>
        <w:bottom w:val="none" w:sz="0" w:space="0" w:color="auto"/>
        <w:right w:val="none" w:sz="0" w:space="0" w:color="auto"/>
      </w:divBdr>
    </w:div>
    <w:div w:id="1607729491">
      <w:bodyDiv w:val="1"/>
      <w:marLeft w:val="0"/>
      <w:marRight w:val="0"/>
      <w:marTop w:val="0"/>
      <w:marBottom w:val="0"/>
      <w:divBdr>
        <w:top w:val="none" w:sz="0" w:space="0" w:color="auto"/>
        <w:left w:val="none" w:sz="0" w:space="0" w:color="auto"/>
        <w:bottom w:val="none" w:sz="0" w:space="0" w:color="auto"/>
        <w:right w:val="none" w:sz="0" w:space="0" w:color="auto"/>
      </w:divBdr>
      <w:divsChild>
        <w:div w:id="356539881">
          <w:marLeft w:val="-720"/>
          <w:marRight w:val="0"/>
          <w:marTop w:val="0"/>
          <w:marBottom w:val="0"/>
          <w:divBdr>
            <w:top w:val="none" w:sz="0" w:space="0" w:color="auto"/>
            <w:left w:val="none" w:sz="0" w:space="0" w:color="auto"/>
            <w:bottom w:val="none" w:sz="0" w:space="0" w:color="auto"/>
            <w:right w:val="none" w:sz="0" w:space="0" w:color="auto"/>
          </w:divBdr>
        </w:div>
      </w:divsChild>
    </w:div>
    <w:div w:id="1644502223">
      <w:bodyDiv w:val="1"/>
      <w:marLeft w:val="0"/>
      <w:marRight w:val="0"/>
      <w:marTop w:val="0"/>
      <w:marBottom w:val="0"/>
      <w:divBdr>
        <w:top w:val="none" w:sz="0" w:space="0" w:color="auto"/>
        <w:left w:val="none" w:sz="0" w:space="0" w:color="auto"/>
        <w:bottom w:val="none" w:sz="0" w:space="0" w:color="auto"/>
        <w:right w:val="none" w:sz="0" w:space="0" w:color="auto"/>
      </w:divBdr>
    </w:div>
    <w:div w:id="1652757526">
      <w:bodyDiv w:val="1"/>
      <w:marLeft w:val="0"/>
      <w:marRight w:val="0"/>
      <w:marTop w:val="0"/>
      <w:marBottom w:val="0"/>
      <w:divBdr>
        <w:top w:val="none" w:sz="0" w:space="0" w:color="auto"/>
        <w:left w:val="none" w:sz="0" w:space="0" w:color="auto"/>
        <w:bottom w:val="none" w:sz="0" w:space="0" w:color="auto"/>
        <w:right w:val="none" w:sz="0" w:space="0" w:color="auto"/>
      </w:divBdr>
      <w:divsChild>
        <w:div w:id="2117286732">
          <w:marLeft w:val="0"/>
          <w:marRight w:val="0"/>
          <w:marTop w:val="0"/>
          <w:marBottom w:val="0"/>
          <w:divBdr>
            <w:top w:val="none" w:sz="0" w:space="0" w:color="auto"/>
            <w:left w:val="none" w:sz="0" w:space="0" w:color="auto"/>
            <w:bottom w:val="none" w:sz="0" w:space="0" w:color="auto"/>
            <w:right w:val="none" w:sz="0" w:space="0" w:color="auto"/>
          </w:divBdr>
          <w:divsChild>
            <w:div w:id="43988535">
              <w:marLeft w:val="0"/>
              <w:marRight w:val="0"/>
              <w:marTop w:val="0"/>
              <w:marBottom w:val="0"/>
              <w:divBdr>
                <w:top w:val="none" w:sz="0" w:space="0" w:color="auto"/>
                <w:left w:val="none" w:sz="0" w:space="0" w:color="auto"/>
                <w:bottom w:val="none" w:sz="0" w:space="0" w:color="auto"/>
                <w:right w:val="none" w:sz="0" w:space="0" w:color="auto"/>
              </w:divBdr>
              <w:divsChild>
                <w:div w:id="6606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1637">
      <w:bodyDiv w:val="1"/>
      <w:marLeft w:val="0"/>
      <w:marRight w:val="0"/>
      <w:marTop w:val="0"/>
      <w:marBottom w:val="0"/>
      <w:divBdr>
        <w:top w:val="none" w:sz="0" w:space="0" w:color="auto"/>
        <w:left w:val="none" w:sz="0" w:space="0" w:color="auto"/>
        <w:bottom w:val="none" w:sz="0" w:space="0" w:color="auto"/>
        <w:right w:val="none" w:sz="0" w:space="0" w:color="auto"/>
      </w:divBdr>
    </w:div>
    <w:div w:id="1661273519">
      <w:bodyDiv w:val="1"/>
      <w:marLeft w:val="0"/>
      <w:marRight w:val="0"/>
      <w:marTop w:val="0"/>
      <w:marBottom w:val="0"/>
      <w:divBdr>
        <w:top w:val="none" w:sz="0" w:space="0" w:color="auto"/>
        <w:left w:val="none" w:sz="0" w:space="0" w:color="auto"/>
        <w:bottom w:val="none" w:sz="0" w:space="0" w:color="auto"/>
        <w:right w:val="none" w:sz="0" w:space="0" w:color="auto"/>
      </w:divBdr>
    </w:div>
    <w:div w:id="1664116576">
      <w:bodyDiv w:val="1"/>
      <w:marLeft w:val="0"/>
      <w:marRight w:val="0"/>
      <w:marTop w:val="0"/>
      <w:marBottom w:val="0"/>
      <w:divBdr>
        <w:top w:val="none" w:sz="0" w:space="0" w:color="auto"/>
        <w:left w:val="none" w:sz="0" w:space="0" w:color="auto"/>
        <w:bottom w:val="none" w:sz="0" w:space="0" w:color="auto"/>
        <w:right w:val="none" w:sz="0" w:space="0" w:color="auto"/>
      </w:divBdr>
    </w:div>
    <w:div w:id="1691300367">
      <w:bodyDiv w:val="1"/>
      <w:marLeft w:val="0"/>
      <w:marRight w:val="0"/>
      <w:marTop w:val="0"/>
      <w:marBottom w:val="0"/>
      <w:divBdr>
        <w:top w:val="none" w:sz="0" w:space="0" w:color="auto"/>
        <w:left w:val="none" w:sz="0" w:space="0" w:color="auto"/>
        <w:bottom w:val="none" w:sz="0" w:space="0" w:color="auto"/>
        <w:right w:val="none" w:sz="0" w:space="0" w:color="auto"/>
      </w:divBdr>
      <w:divsChild>
        <w:div w:id="940646268">
          <w:marLeft w:val="0"/>
          <w:marRight w:val="0"/>
          <w:marTop w:val="0"/>
          <w:marBottom w:val="0"/>
          <w:divBdr>
            <w:top w:val="none" w:sz="0" w:space="0" w:color="auto"/>
            <w:left w:val="none" w:sz="0" w:space="0" w:color="auto"/>
            <w:bottom w:val="none" w:sz="0" w:space="0" w:color="auto"/>
            <w:right w:val="none" w:sz="0" w:space="0" w:color="auto"/>
          </w:divBdr>
          <w:divsChild>
            <w:div w:id="1901402045">
              <w:marLeft w:val="0"/>
              <w:marRight w:val="0"/>
              <w:marTop w:val="0"/>
              <w:marBottom w:val="0"/>
              <w:divBdr>
                <w:top w:val="none" w:sz="0" w:space="0" w:color="auto"/>
                <w:left w:val="none" w:sz="0" w:space="0" w:color="auto"/>
                <w:bottom w:val="none" w:sz="0" w:space="0" w:color="auto"/>
                <w:right w:val="none" w:sz="0" w:space="0" w:color="auto"/>
              </w:divBdr>
              <w:divsChild>
                <w:div w:id="5891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21137">
      <w:bodyDiv w:val="1"/>
      <w:marLeft w:val="0"/>
      <w:marRight w:val="0"/>
      <w:marTop w:val="0"/>
      <w:marBottom w:val="0"/>
      <w:divBdr>
        <w:top w:val="none" w:sz="0" w:space="0" w:color="auto"/>
        <w:left w:val="none" w:sz="0" w:space="0" w:color="auto"/>
        <w:bottom w:val="none" w:sz="0" w:space="0" w:color="auto"/>
        <w:right w:val="none" w:sz="0" w:space="0" w:color="auto"/>
      </w:divBdr>
    </w:div>
    <w:div w:id="1717926707">
      <w:bodyDiv w:val="1"/>
      <w:marLeft w:val="0"/>
      <w:marRight w:val="0"/>
      <w:marTop w:val="0"/>
      <w:marBottom w:val="0"/>
      <w:divBdr>
        <w:top w:val="none" w:sz="0" w:space="0" w:color="auto"/>
        <w:left w:val="none" w:sz="0" w:space="0" w:color="auto"/>
        <w:bottom w:val="none" w:sz="0" w:space="0" w:color="auto"/>
        <w:right w:val="none" w:sz="0" w:space="0" w:color="auto"/>
      </w:divBdr>
      <w:divsChild>
        <w:div w:id="1871992207">
          <w:marLeft w:val="0"/>
          <w:marRight w:val="0"/>
          <w:marTop w:val="0"/>
          <w:marBottom w:val="0"/>
          <w:divBdr>
            <w:top w:val="none" w:sz="0" w:space="0" w:color="auto"/>
            <w:left w:val="none" w:sz="0" w:space="0" w:color="auto"/>
            <w:bottom w:val="none" w:sz="0" w:space="0" w:color="auto"/>
            <w:right w:val="none" w:sz="0" w:space="0" w:color="auto"/>
          </w:divBdr>
          <w:divsChild>
            <w:div w:id="1802845037">
              <w:marLeft w:val="0"/>
              <w:marRight w:val="0"/>
              <w:marTop w:val="0"/>
              <w:marBottom w:val="0"/>
              <w:divBdr>
                <w:top w:val="none" w:sz="0" w:space="0" w:color="auto"/>
                <w:left w:val="none" w:sz="0" w:space="0" w:color="auto"/>
                <w:bottom w:val="none" w:sz="0" w:space="0" w:color="auto"/>
                <w:right w:val="none" w:sz="0" w:space="0" w:color="auto"/>
              </w:divBdr>
              <w:divsChild>
                <w:div w:id="20647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99499">
      <w:bodyDiv w:val="1"/>
      <w:marLeft w:val="0"/>
      <w:marRight w:val="0"/>
      <w:marTop w:val="0"/>
      <w:marBottom w:val="0"/>
      <w:divBdr>
        <w:top w:val="none" w:sz="0" w:space="0" w:color="auto"/>
        <w:left w:val="none" w:sz="0" w:space="0" w:color="auto"/>
        <w:bottom w:val="none" w:sz="0" w:space="0" w:color="auto"/>
        <w:right w:val="none" w:sz="0" w:space="0" w:color="auto"/>
      </w:divBdr>
    </w:div>
    <w:div w:id="1743868857">
      <w:bodyDiv w:val="1"/>
      <w:marLeft w:val="0"/>
      <w:marRight w:val="0"/>
      <w:marTop w:val="0"/>
      <w:marBottom w:val="0"/>
      <w:divBdr>
        <w:top w:val="none" w:sz="0" w:space="0" w:color="auto"/>
        <w:left w:val="none" w:sz="0" w:space="0" w:color="auto"/>
        <w:bottom w:val="none" w:sz="0" w:space="0" w:color="auto"/>
        <w:right w:val="none" w:sz="0" w:space="0" w:color="auto"/>
      </w:divBdr>
    </w:div>
    <w:div w:id="1750804751">
      <w:bodyDiv w:val="1"/>
      <w:marLeft w:val="0"/>
      <w:marRight w:val="0"/>
      <w:marTop w:val="0"/>
      <w:marBottom w:val="0"/>
      <w:divBdr>
        <w:top w:val="none" w:sz="0" w:space="0" w:color="auto"/>
        <w:left w:val="none" w:sz="0" w:space="0" w:color="auto"/>
        <w:bottom w:val="none" w:sz="0" w:space="0" w:color="auto"/>
        <w:right w:val="none" w:sz="0" w:space="0" w:color="auto"/>
      </w:divBdr>
      <w:divsChild>
        <w:div w:id="956176498">
          <w:marLeft w:val="0"/>
          <w:marRight w:val="0"/>
          <w:marTop w:val="0"/>
          <w:marBottom w:val="0"/>
          <w:divBdr>
            <w:top w:val="none" w:sz="0" w:space="0" w:color="auto"/>
            <w:left w:val="none" w:sz="0" w:space="0" w:color="auto"/>
            <w:bottom w:val="none" w:sz="0" w:space="0" w:color="auto"/>
            <w:right w:val="none" w:sz="0" w:space="0" w:color="auto"/>
          </w:divBdr>
          <w:divsChild>
            <w:div w:id="1741364901">
              <w:marLeft w:val="0"/>
              <w:marRight w:val="0"/>
              <w:marTop w:val="0"/>
              <w:marBottom w:val="0"/>
              <w:divBdr>
                <w:top w:val="none" w:sz="0" w:space="0" w:color="auto"/>
                <w:left w:val="none" w:sz="0" w:space="0" w:color="auto"/>
                <w:bottom w:val="none" w:sz="0" w:space="0" w:color="auto"/>
                <w:right w:val="none" w:sz="0" w:space="0" w:color="auto"/>
              </w:divBdr>
              <w:divsChild>
                <w:div w:id="14433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47715">
      <w:bodyDiv w:val="1"/>
      <w:marLeft w:val="0"/>
      <w:marRight w:val="0"/>
      <w:marTop w:val="0"/>
      <w:marBottom w:val="0"/>
      <w:divBdr>
        <w:top w:val="none" w:sz="0" w:space="0" w:color="auto"/>
        <w:left w:val="none" w:sz="0" w:space="0" w:color="auto"/>
        <w:bottom w:val="none" w:sz="0" w:space="0" w:color="auto"/>
        <w:right w:val="none" w:sz="0" w:space="0" w:color="auto"/>
      </w:divBdr>
    </w:div>
    <w:div w:id="1783919401">
      <w:bodyDiv w:val="1"/>
      <w:marLeft w:val="0"/>
      <w:marRight w:val="0"/>
      <w:marTop w:val="0"/>
      <w:marBottom w:val="0"/>
      <w:divBdr>
        <w:top w:val="none" w:sz="0" w:space="0" w:color="auto"/>
        <w:left w:val="none" w:sz="0" w:space="0" w:color="auto"/>
        <w:bottom w:val="none" w:sz="0" w:space="0" w:color="auto"/>
        <w:right w:val="none" w:sz="0" w:space="0" w:color="auto"/>
      </w:divBdr>
    </w:div>
    <w:div w:id="1805077945">
      <w:bodyDiv w:val="1"/>
      <w:marLeft w:val="0"/>
      <w:marRight w:val="0"/>
      <w:marTop w:val="0"/>
      <w:marBottom w:val="0"/>
      <w:divBdr>
        <w:top w:val="none" w:sz="0" w:space="0" w:color="auto"/>
        <w:left w:val="none" w:sz="0" w:space="0" w:color="auto"/>
        <w:bottom w:val="none" w:sz="0" w:space="0" w:color="auto"/>
        <w:right w:val="none" w:sz="0" w:space="0" w:color="auto"/>
      </w:divBdr>
      <w:divsChild>
        <w:div w:id="1268583668">
          <w:marLeft w:val="0"/>
          <w:marRight w:val="0"/>
          <w:marTop w:val="0"/>
          <w:marBottom w:val="0"/>
          <w:divBdr>
            <w:top w:val="none" w:sz="0" w:space="0" w:color="auto"/>
            <w:left w:val="none" w:sz="0" w:space="0" w:color="auto"/>
            <w:bottom w:val="none" w:sz="0" w:space="0" w:color="auto"/>
            <w:right w:val="none" w:sz="0" w:space="0" w:color="auto"/>
          </w:divBdr>
          <w:divsChild>
            <w:div w:id="2030720959">
              <w:marLeft w:val="0"/>
              <w:marRight w:val="0"/>
              <w:marTop w:val="0"/>
              <w:marBottom w:val="0"/>
              <w:divBdr>
                <w:top w:val="none" w:sz="0" w:space="0" w:color="auto"/>
                <w:left w:val="none" w:sz="0" w:space="0" w:color="auto"/>
                <w:bottom w:val="none" w:sz="0" w:space="0" w:color="auto"/>
                <w:right w:val="none" w:sz="0" w:space="0" w:color="auto"/>
              </w:divBdr>
              <w:divsChild>
                <w:div w:id="10863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9578">
      <w:bodyDiv w:val="1"/>
      <w:marLeft w:val="0"/>
      <w:marRight w:val="0"/>
      <w:marTop w:val="0"/>
      <w:marBottom w:val="0"/>
      <w:divBdr>
        <w:top w:val="none" w:sz="0" w:space="0" w:color="auto"/>
        <w:left w:val="none" w:sz="0" w:space="0" w:color="auto"/>
        <w:bottom w:val="none" w:sz="0" w:space="0" w:color="auto"/>
        <w:right w:val="none" w:sz="0" w:space="0" w:color="auto"/>
      </w:divBdr>
      <w:divsChild>
        <w:div w:id="2029401541">
          <w:marLeft w:val="0"/>
          <w:marRight w:val="0"/>
          <w:marTop w:val="0"/>
          <w:marBottom w:val="0"/>
          <w:divBdr>
            <w:top w:val="none" w:sz="0" w:space="0" w:color="auto"/>
            <w:left w:val="none" w:sz="0" w:space="0" w:color="auto"/>
            <w:bottom w:val="none" w:sz="0" w:space="0" w:color="auto"/>
            <w:right w:val="none" w:sz="0" w:space="0" w:color="auto"/>
          </w:divBdr>
          <w:divsChild>
            <w:div w:id="2139450425">
              <w:marLeft w:val="0"/>
              <w:marRight w:val="0"/>
              <w:marTop w:val="0"/>
              <w:marBottom w:val="0"/>
              <w:divBdr>
                <w:top w:val="none" w:sz="0" w:space="0" w:color="auto"/>
                <w:left w:val="none" w:sz="0" w:space="0" w:color="auto"/>
                <w:bottom w:val="none" w:sz="0" w:space="0" w:color="auto"/>
                <w:right w:val="none" w:sz="0" w:space="0" w:color="auto"/>
              </w:divBdr>
              <w:divsChild>
                <w:div w:id="10686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6219">
      <w:bodyDiv w:val="1"/>
      <w:marLeft w:val="0"/>
      <w:marRight w:val="0"/>
      <w:marTop w:val="0"/>
      <w:marBottom w:val="0"/>
      <w:divBdr>
        <w:top w:val="none" w:sz="0" w:space="0" w:color="auto"/>
        <w:left w:val="none" w:sz="0" w:space="0" w:color="auto"/>
        <w:bottom w:val="none" w:sz="0" w:space="0" w:color="auto"/>
        <w:right w:val="none" w:sz="0" w:space="0" w:color="auto"/>
      </w:divBdr>
      <w:divsChild>
        <w:div w:id="1055667904">
          <w:marLeft w:val="-720"/>
          <w:marRight w:val="0"/>
          <w:marTop w:val="0"/>
          <w:marBottom w:val="0"/>
          <w:divBdr>
            <w:top w:val="none" w:sz="0" w:space="0" w:color="auto"/>
            <w:left w:val="none" w:sz="0" w:space="0" w:color="auto"/>
            <w:bottom w:val="none" w:sz="0" w:space="0" w:color="auto"/>
            <w:right w:val="none" w:sz="0" w:space="0" w:color="auto"/>
          </w:divBdr>
        </w:div>
      </w:divsChild>
    </w:div>
    <w:div w:id="1869873907">
      <w:bodyDiv w:val="1"/>
      <w:marLeft w:val="0"/>
      <w:marRight w:val="0"/>
      <w:marTop w:val="0"/>
      <w:marBottom w:val="0"/>
      <w:divBdr>
        <w:top w:val="none" w:sz="0" w:space="0" w:color="auto"/>
        <w:left w:val="none" w:sz="0" w:space="0" w:color="auto"/>
        <w:bottom w:val="none" w:sz="0" w:space="0" w:color="auto"/>
        <w:right w:val="none" w:sz="0" w:space="0" w:color="auto"/>
      </w:divBdr>
      <w:divsChild>
        <w:div w:id="1998266246">
          <w:marLeft w:val="0"/>
          <w:marRight w:val="0"/>
          <w:marTop w:val="0"/>
          <w:marBottom w:val="0"/>
          <w:divBdr>
            <w:top w:val="none" w:sz="0" w:space="0" w:color="auto"/>
            <w:left w:val="none" w:sz="0" w:space="0" w:color="auto"/>
            <w:bottom w:val="none" w:sz="0" w:space="0" w:color="auto"/>
            <w:right w:val="none" w:sz="0" w:space="0" w:color="auto"/>
          </w:divBdr>
        </w:div>
      </w:divsChild>
    </w:div>
    <w:div w:id="1879774472">
      <w:bodyDiv w:val="1"/>
      <w:marLeft w:val="0"/>
      <w:marRight w:val="0"/>
      <w:marTop w:val="0"/>
      <w:marBottom w:val="0"/>
      <w:divBdr>
        <w:top w:val="none" w:sz="0" w:space="0" w:color="auto"/>
        <w:left w:val="none" w:sz="0" w:space="0" w:color="auto"/>
        <w:bottom w:val="none" w:sz="0" w:space="0" w:color="auto"/>
        <w:right w:val="none" w:sz="0" w:space="0" w:color="auto"/>
      </w:divBdr>
      <w:divsChild>
        <w:div w:id="1972325167">
          <w:marLeft w:val="-720"/>
          <w:marRight w:val="0"/>
          <w:marTop w:val="0"/>
          <w:marBottom w:val="0"/>
          <w:divBdr>
            <w:top w:val="none" w:sz="0" w:space="0" w:color="auto"/>
            <w:left w:val="none" w:sz="0" w:space="0" w:color="auto"/>
            <w:bottom w:val="none" w:sz="0" w:space="0" w:color="auto"/>
            <w:right w:val="none" w:sz="0" w:space="0" w:color="auto"/>
          </w:divBdr>
        </w:div>
      </w:divsChild>
    </w:div>
    <w:div w:id="1891762917">
      <w:bodyDiv w:val="1"/>
      <w:marLeft w:val="0"/>
      <w:marRight w:val="0"/>
      <w:marTop w:val="0"/>
      <w:marBottom w:val="0"/>
      <w:divBdr>
        <w:top w:val="none" w:sz="0" w:space="0" w:color="auto"/>
        <w:left w:val="none" w:sz="0" w:space="0" w:color="auto"/>
        <w:bottom w:val="none" w:sz="0" w:space="0" w:color="auto"/>
        <w:right w:val="none" w:sz="0" w:space="0" w:color="auto"/>
      </w:divBdr>
      <w:divsChild>
        <w:div w:id="1284851556">
          <w:marLeft w:val="-720"/>
          <w:marRight w:val="0"/>
          <w:marTop w:val="0"/>
          <w:marBottom w:val="0"/>
          <w:divBdr>
            <w:top w:val="none" w:sz="0" w:space="0" w:color="auto"/>
            <w:left w:val="none" w:sz="0" w:space="0" w:color="auto"/>
            <w:bottom w:val="none" w:sz="0" w:space="0" w:color="auto"/>
            <w:right w:val="none" w:sz="0" w:space="0" w:color="auto"/>
          </w:divBdr>
        </w:div>
      </w:divsChild>
    </w:div>
    <w:div w:id="1892770105">
      <w:bodyDiv w:val="1"/>
      <w:marLeft w:val="0"/>
      <w:marRight w:val="0"/>
      <w:marTop w:val="0"/>
      <w:marBottom w:val="0"/>
      <w:divBdr>
        <w:top w:val="none" w:sz="0" w:space="0" w:color="auto"/>
        <w:left w:val="none" w:sz="0" w:space="0" w:color="auto"/>
        <w:bottom w:val="none" w:sz="0" w:space="0" w:color="auto"/>
        <w:right w:val="none" w:sz="0" w:space="0" w:color="auto"/>
      </w:divBdr>
      <w:divsChild>
        <w:div w:id="1916931603">
          <w:marLeft w:val="0"/>
          <w:marRight w:val="0"/>
          <w:marTop w:val="0"/>
          <w:marBottom w:val="0"/>
          <w:divBdr>
            <w:top w:val="none" w:sz="0" w:space="0" w:color="auto"/>
            <w:left w:val="none" w:sz="0" w:space="0" w:color="auto"/>
            <w:bottom w:val="none" w:sz="0" w:space="0" w:color="auto"/>
            <w:right w:val="none" w:sz="0" w:space="0" w:color="auto"/>
          </w:divBdr>
          <w:divsChild>
            <w:div w:id="679740292">
              <w:marLeft w:val="0"/>
              <w:marRight w:val="0"/>
              <w:marTop w:val="0"/>
              <w:marBottom w:val="0"/>
              <w:divBdr>
                <w:top w:val="none" w:sz="0" w:space="0" w:color="auto"/>
                <w:left w:val="none" w:sz="0" w:space="0" w:color="auto"/>
                <w:bottom w:val="none" w:sz="0" w:space="0" w:color="auto"/>
                <w:right w:val="none" w:sz="0" w:space="0" w:color="auto"/>
              </w:divBdr>
              <w:divsChild>
                <w:div w:id="20889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1465">
      <w:bodyDiv w:val="1"/>
      <w:marLeft w:val="0"/>
      <w:marRight w:val="0"/>
      <w:marTop w:val="0"/>
      <w:marBottom w:val="0"/>
      <w:divBdr>
        <w:top w:val="none" w:sz="0" w:space="0" w:color="auto"/>
        <w:left w:val="none" w:sz="0" w:space="0" w:color="auto"/>
        <w:bottom w:val="none" w:sz="0" w:space="0" w:color="auto"/>
        <w:right w:val="none" w:sz="0" w:space="0" w:color="auto"/>
      </w:divBdr>
      <w:divsChild>
        <w:div w:id="1280456714">
          <w:marLeft w:val="-720"/>
          <w:marRight w:val="0"/>
          <w:marTop w:val="0"/>
          <w:marBottom w:val="0"/>
          <w:divBdr>
            <w:top w:val="none" w:sz="0" w:space="0" w:color="auto"/>
            <w:left w:val="none" w:sz="0" w:space="0" w:color="auto"/>
            <w:bottom w:val="none" w:sz="0" w:space="0" w:color="auto"/>
            <w:right w:val="none" w:sz="0" w:space="0" w:color="auto"/>
          </w:divBdr>
        </w:div>
      </w:divsChild>
    </w:div>
    <w:div w:id="1927305624">
      <w:bodyDiv w:val="1"/>
      <w:marLeft w:val="0"/>
      <w:marRight w:val="0"/>
      <w:marTop w:val="0"/>
      <w:marBottom w:val="0"/>
      <w:divBdr>
        <w:top w:val="none" w:sz="0" w:space="0" w:color="auto"/>
        <w:left w:val="none" w:sz="0" w:space="0" w:color="auto"/>
        <w:bottom w:val="none" w:sz="0" w:space="0" w:color="auto"/>
        <w:right w:val="none" w:sz="0" w:space="0" w:color="auto"/>
      </w:divBdr>
    </w:div>
    <w:div w:id="1958102797">
      <w:bodyDiv w:val="1"/>
      <w:marLeft w:val="0"/>
      <w:marRight w:val="0"/>
      <w:marTop w:val="0"/>
      <w:marBottom w:val="0"/>
      <w:divBdr>
        <w:top w:val="none" w:sz="0" w:space="0" w:color="auto"/>
        <w:left w:val="none" w:sz="0" w:space="0" w:color="auto"/>
        <w:bottom w:val="none" w:sz="0" w:space="0" w:color="auto"/>
        <w:right w:val="none" w:sz="0" w:space="0" w:color="auto"/>
      </w:divBdr>
    </w:div>
    <w:div w:id="1976720380">
      <w:bodyDiv w:val="1"/>
      <w:marLeft w:val="0"/>
      <w:marRight w:val="0"/>
      <w:marTop w:val="0"/>
      <w:marBottom w:val="0"/>
      <w:divBdr>
        <w:top w:val="none" w:sz="0" w:space="0" w:color="auto"/>
        <w:left w:val="none" w:sz="0" w:space="0" w:color="auto"/>
        <w:bottom w:val="none" w:sz="0" w:space="0" w:color="auto"/>
        <w:right w:val="none" w:sz="0" w:space="0" w:color="auto"/>
      </w:divBdr>
    </w:div>
    <w:div w:id="2004697193">
      <w:bodyDiv w:val="1"/>
      <w:marLeft w:val="0"/>
      <w:marRight w:val="0"/>
      <w:marTop w:val="0"/>
      <w:marBottom w:val="0"/>
      <w:divBdr>
        <w:top w:val="none" w:sz="0" w:space="0" w:color="auto"/>
        <w:left w:val="none" w:sz="0" w:space="0" w:color="auto"/>
        <w:bottom w:val="none" w:sz="0" w:space="0" w:color="auto"/>
        <w:right w:val="none" w:sz="0" w:space="0" w:color="auto"/>
      </w:divBdr>
      <w:divsChild>
        <w:div w:id="1238514041">
          <w:marLeft w:val="0"/>
          <w:marRight w:val="0"/>
          <w:marTop w:val="0"/>
          <w:marBottom w:val="0"/>
          <w:divBdr>
            <w:top w:val="none" w:sz="0" w:space="0" w:color="auto"/>
            <w:left w:val="none" w:sz="0" w:space="0" w:color="auto"/>
            <w:bottom w:val="none" w:sz="0" w:space="0" w:color="auto"/>
            <w:right w:val="none" w:sz="0" w:space="0" w:color="auto"/>
          </w:divBdr>
          <w:divsChild>
            <w:div w:id="1213345790">
              <w:marLeft w:val="0"/>
              <w:marRight w:val="0"/>
              <w:marTop w:val="0"/>
              <w:marBottom w:val="0"/>
              <w:divBdr>
                <w:top w:val="none" w:sz="0" w:space="0" w:color="auto"/>
                <w:left w:val="none" w:sz="0" w:space="0" w:color="auto"/>
                <w:bottom w:val="none" w:sz="0" w:space="0" w:color="auto"/>
                <w:right w:val="none" w:sz="0" w:space="0" w:color="auto"/>
              </w:divBdr>
              <w:divsChild>
                <w:div w:id="7566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17361">
      <w:bodyDiv w:val="1"/>
      <w:marLeft w:val="0"/>
      <w:marRight w:val="0"/>
      <w:marTop w:val="0"/>
      <w:marBottom w:val="0"/>
      <w:divBdr>
        <w:top w:val="none" w:sz="0" w:space="0" w:color="auto"/>
        <w:left w:val="none" w:sz="0" w:space="0" w:color="auto"/>
        <w:bottom w:val="none" w:sz="0" w:space="0" w:color="auto"/>
        <w:right w:val="none" w:sz="0" w:space="0" w:color="auto"/>
      </w:divBdr>
    </w:div>
    <w:div w:id="2045597483">
      <w:bodyDiv w:val="1"/>
      <w:marLeft w:val="0"/>
      <w:marRight w:val="0"/>
      <w:marTop w:val="0"/>
      <w:marBottom w:val="0"/>
      <w:divBdr>
        <w:top w:val="none" w:sz="0" w:space="0" w:color="auto"/>
        <w:left w:val="none" w:sz="0" w:space="0" w:color="auto"/>
        <w:bottom w:val="none" w:sz="0" w:space="0" w:color="auto"/>
        <w:right w:val="none" w:sz="0" w:space="0" w:color="auto"/>
      </w:divBdr>
    </w:div>
    <w:div w:id="2047412713">
      <w:bodyDiv w:val="1"/>
      <w:marLeft w:val="0"/>
      <w:marRight w:val="0"/>
      <w:marTop w:val="0"/>
      <w:marBottom w:val="0"/>
      <w:divBdr>
        <w:top w:val="none" w:sz="0" w:space="0" w:color="auto"/>
        <w:left w:val="none" w:sz="0" w:space="0" w:color="auto"/>
        <w:bottom w:val="none" w:sz="0" w:space="0" w:color="auto"/>
        <w:right w:val="none" w:sz="0" w:space="0" w:color="auto"/>
      </w:divBdr>
      <w:divsChild>
        <w:div w:id="585461514">
          <w:marLeft w:val="0"/>
          <w:marRight w:val="0"/>
          <w:marTop w:val="0"/>
          <w:marBottom w:val="0"/>
          <w:divBdr>
            <w:top w:val="none" w:sz="0" w:space="0" w:color="auto"/>
            <w:left w:val="none" w:sz="0" w:space="0" w:color="auto"/>
            <w:bottom w:val="none" w:sz="0" w:space="0" w:color="auto"/>
            <w:right w:val="none" w:sz="0" w:space="0" w:color="auto"/>
          </w:divBdr>
          <w:divsChild>
            <w:div w:id="1755396865">
              <w:marLeft w:val="0"/>
              <w:marRight w:val="0"/>
              <w:marTop w:val="0"/>
              <w:marBottom w:val="0"/>
              <w:divBdr>
                <w:top w:val="none" w:sz="0" w:space="0" w:color="auto"/>
                <w:left w:val="none" w:sz="0" w:space="0" w:color="auto"/>
                <w:bottom w:val="none" w:sz="0" w:space="0" w:color="auto"/>
                <w:right w:val="none" w:sz="0" w:space="0" w:color="auto"/>
              </w:divBdr>
              <w:divsChild>
                <w:div w:id="7233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78478">
      <w:bodyDiv w:val="1"/>
      <w:marLeft w:val="0"/>
      <w:marRight w:val="0"/>
      <w:marTop w:val="0"/>
      <w:marBottom w:val="0"/>
      <w:divBdr>
        <w:top w:val="none" w:sz="0" w:space="0" w:color="auto"/>
        <w:left w:val="none" w:sz="0" w:space="0" w:color="auto"/>
        <w:bottom w:val="none" w:sz="0" w:space="0" w:color="auto"/>
        <w:right w:val="none" w:sz="0" w:space="0" w:color="auto"/>
      </w:divBdr>
      <w:divsChild>
        <w:div w:id="792402582">
          <w:marLeft w:val="-720"/>
          <w:marRight w:val="0"/>
          <w:marTop w:val="0"/>
          <w:marBottom w:val="0"/>
          <w:divBdr>
            <w:top w:val="none" w:sz="0" w:space="0" w:color="auto"/>
            <w:left w:val="none" w:sz="0" w:space="0" w:color="auto"/>
            <w:bottom w:val="none" w:sz="0" w:space="0" w:color="auto"/>
            <w:right w:val="none" w:sz="0" w:space="0" w:color="auto"/>
          </w:divBdr>
        </w:div>
      </w:divsChild>
    </w:div>
    <w:div w:id="2063014973">
      <w:bodyDiv w:val="1"/>
      <w:marLeft w:val="0"/>
      <w:marRight w:val="0"/>
      <w:marTop w:val="0"/>
      <w:marBottom w:val="0"/>
      <w:divBdr>
        <w:top w:val="none" w:sz="0" w:space="0" w:color="auto"/>
        <w:left w:val="none" w:sz="0" w:space="0" w:color="auto"/>
        <w:bottom w:val="none" w:sz="0" w:space="0" w:color="auto"/>
        <w:right w:val="none" w:sz="0" w:space="0" w:color="auto"/>
      </w:divBdr>
    </w:div>
    <w:div w:id="2115594456">
      <w:bodyDiv w:val="1"/>
      <w:marLeft w:val="0"/>
      <w:marRight w:val="0"/>
      <w:marTop w:val="0"/>
      <w:marBottom w:val="0"/>
      <w:divBdr>
        <w:top w:val="none" w:sz="0" w:space="0" w:color="auto"/>
        <w:left w:val="none" w:sz="0" w:space="0" w:color="auto"/>
        <w:bottom w:val="none" w:sz="0" w:space="0" w:color="auto"/>
        <w:right w:val="none" w:sz="0" w:space="0" w:color="auto"/>
      </w:divBdr>
      <w:divsChild>
        <w:div w:id="757210621">
          <w:marLeft w:val="-720"/>
          <w:marRight w:val="0"/>
          <w:marTop w:val="0"/>
          <w:marBottom w:val="0"/>
          <w:divBdr>
            <w:top w:val="none" w:sz="0" w:space="0" w:color="auto"/>
            <w:left w:val="none" w:sz="0" w:space="0" w:color="auto"/>
            <w:bottom w:val="none" w:sz="0" w:space="0" w:color="auto"/>
            <w:right w:val="none" w:sz="0" w:space="0" w:color="auto"/>
          </w:divBdr>
        </w:div>
      </w:divsChild>
    </w:div>
    <w:div w:id="2136822875">
      <w:bodyDiv w:val="1"/>
      <w:marLeft w:val="0"/>
      <w:marRight w:val="0"/>
      <w:marTop w:val="0"/>
      <w:marBottom w:val="0"/>
      <w:divBdr>
        <w:top w:val="none" w:sz="0" w:space="0" w:color="auto"/>
        <w:left w:val="none" w:sz="0" w:space="0" w:color="auto"/>
        <w:bottom w:val="none" w:sz="0" w:space="0" w:color="auto"/>
        <w:right w:val="none" w:sz="0" w:space="0" w:color="auto"/>
      </w:divBdr>
      <w:divsChild>
        <w:div w:id="189897232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iadneprojekt.de/media/2023/12/Ariadne-Documentation_ETSWorkshopBruessel_December2023.pdf" TargetMode="External"/><Relationship Id="rId21" Type="http://schemas.openxmlformats.org/officeDocument/2006/relationships/diagramColors" Target="diagrams/colors1.xml"/><Relationship Id="rId42" Type="http://schemas.openxmlformats.org/officeDocument/2006/relationships/image" Target="media/image27.jpeg"/><Relationship Id="rId63" Type="http://schemas.openxmlformats.org/officeDocument/2006/relationships/hyperlink" Target="https://doi.org/10.1016/j.respol.2007.12.003" TargetMode="External"/><Relationship Id="rId84" Type="http://schemas.openxmlformats.org/officeDocument/2006/relationships/hyperlink" Target="https://climate.ec.europa.eu/eu-action/eu-emissions-trading-system-eu-ets_en" TargetMode="External"/><Relationship Id="rId138" Type="http://schemas.openxmlformats.org/officeDocument/2006/relationships/hyperlink" Target="http://www.noaa.gov" TargetMode="External"/><Relationship Id="rId159" Type="http://schemas.openxmlformats.org/officeDocument/2006/relationships/hyperlink" Target="https://doi.org/10.1021/acs.est.0c07955" TargetMode="External"/><Relationship Id="rId170" Type="http://schemas.openxmlformats.org/officeDocument/2006/relationships/hyperlink" Target="https://unfccc.int/" TargetMode="External"/><Relationship Id="rId191" Type="http://schemas.openxmlformats.org/officeDocument/2006/relationships/image" Target="media/image49.jpeg"/><Relationship Id="rId107" Type="http://schemas.openxmlformats.org/officeDocument/2006/relationships/hyperlink" Target="https://iea.blob.core.windows.net/assets/9e3a3493-b9a6-4b7d-b499-7ca48e357561/The_Future_of_Hydrogen.pdf" TargetMode="External"/><Relationship Id="rId11" Type="http://schemas.openxmlformats.org/officeDocument/2006/relationships/footer" Target="footer1.xml"/><Relationship Id="rId32" Type="http://schemas.openxmlformats.org/officeDocument/2006/relationships/image" Target="media/image17.png"/><Relationship Id="rId53" Type="http://schemas.openxmlformats.org/officeDocument/2006/relationships/image" Target="media/image38.jpeg"/><Relationship Id="rId74" Type="http://schemas.openxmlformats.org/officeDocument/2006/relationships/hyperlink" Target="https://doi.org/10.1007/s13272-024-00714-0" TargetMode="External"/><Relationship Id="rId128" Type="http://schemas.openxmlformats.org/officeDocument/2006/relationships/hyperlink" Target="https://www.cliffordchance.com/content/dam/cliffordchance/briefings/2024/02/low-carbon-fuels-decoding-eu-legislation-for-the-transport-sector.pdf" TargetMode="External"/><Relationship Id="rId149" Type="http://schemas.openxmlformats.org/officeDocument/2006/relationships/hyperlink" Target="https://doi.org/10.3390/en15145017" TargetMode="External"/><Relationship Id="rId5" Type="http://schemas.openxmlformats.org/officeDocument/2006/relationships/webSettings" Target="webSettings.xml"/><Relationship Id="rId95" Type="http://schemas.openxmlformats.org/officeDocument/2006/relationships/hyperlink" Target="https://www.avfuel.com/Portals/0/SAF%20SAIB.pdf" TargetMode="External"/><Relationship Id="rId160" Type="http://schemas.openxmlformats.org/officeDocument/2006/relationships/hyperlink" Target="https://doi.org/10.1557/s43577-022-00320-7" TargetMode="External"/><Relationship Id="rId181" Type="http://schemas.openxmlformats.org/officeDocument/2006/relationships/image" Target="media/image40.png"/><Relationship Id="rId22" Type="http://schemas.microsoft.com/office/2007/relationships/diagramDrawing" Target="diagrams/drawing1.xml"/><Relationship Id="rId43" Type="http://schemas.openxmlformats.org/officeDocument/2006/relationships/image" Target="media/image28.jpeg"/><Relationship Id="rId64" Type="http://schemas.openxmlformats.org/officeDocument/2006/relationships/hyperlink" Target="https://doi.org/10.1073/pnas.2205429119" TargetMode="External"/><Relationship Id="rId118" Type="http://schemas.openxmlformats.org/officeDocument/2006/relationships/hyperlink" Target="https://doi.org/10.1002/anie.201506952" TargetMode="External"/><Relationship Id="rId139" Type="http://schemas.openxmlformats.org/officeDocument/2006/relationships/hyperlink" Target="https://doi.org/10.1016/j.enconman.2021.115052" TargetMode="External"/><Relationship Id="rId85" Type="http://schemas.openxmlformats.org/officeDocument/2006/relationships/hyperlink" Target="https://climate.ec.europa.eu/eu-action/eu-funding-climate-action/innovation-fund_en" TargetMode="External"/><Relationship Id="rId150" Type="http://schemas.openxmlformats.org/officeDocument/2006/relationships/hyperlink" Target="https://www.purolite.com/index/Company/News-and-Events/news/skytree-development-agreement" TargetMode="External"/><Relationship Id="rId171" Type="http://schemas.openxmlformats.org/officeDocument/2006/relationships/hyperlink" Target="https://doi.org/10.2307/1941591" TargetMode="External"/><Relationship Id="rId192" Type="http://schemas.openxmlformats.org/officeDocument/2006/relationships/image" Target="media/image50.jpeg"/><Relationship Id="rId12" Type="http://schemas.openxmlformats.org/officeDocument/2006/relationships/hyperlink" Target="http://www.gasworld.com" TargetMode="External"/><Relationship Id="rId33" Type="http://schemas.openxmlformats.org/officeDocument/2006/relationships/image" Target="media/image18.png"/><Relationship Id="rId108" Type="http://schemas.openxmlformats.org/officeDocument/2006/relationships/hyperlink" Target="https://iea.blob.core.windows.net/assets/063ae08a-7114-4b58-a34e-39db2112d0a2/NetZeroby2050-ARoadmapfortheGlobalEnergySector.pdf" TargetMode="External"/><Relationship Id="rId129" Type="http://schemas.openxmlformats.org/officeDocument/2006/relationships/hyperlink" Target="https://doi.org/10.1016/s0301-4215(00)00122-1" TargetMode="External"/><Relationship Id="rId54" Type="http://schemas.openxmlformats.org/officeDocument/2006/relationships/hyperlink" Target="https://doi.org/10.1007/978-981-15-5667-8_20" TargetMode="External"/><Relationship Id="rId75" Type="http://schemas.openxmlformats.org/officeDocument/2006/relationships/hyperlink" Target="https://hdl.handle.net/1721.1/152729" TargetMode="External"/><Relationship Id="rId96" Type="http://schemas.openxmlformats.org/officeDocument/2006/relationships/hyperlink" Target="https://doi.org/10.1088/1748-9326/acaee1" TargetMode="External"/><Relationship Id="rId140" Type="http://schemas.openxmlformats.org/officeDocument/2006/relationships/hyperlink" Target="https://doi.org/10.1016/j.enconman.2019.112108" TargetMode="External"/><Relationship Id="rId161" Type="http://schemas.openxmlformats.org/officeDocument/2006/relationships/hyperlink" Target="https://doi.org/10.2172/35391" TargetMode="External"/><Relationship Id="rId182" Type="http://schemas.openxmlformats.org/officeDocument/2006/relationships/image" Target="media/image41.png"/><Relationship Id="rId6" Type="http://schemas.openxmlformats.org/officeDocument/2006/relationships/footnotes" Target="footnotes.xml"/><Relationship Id="rId23" Type="http://schemas.openxmlformats.org/officeDocument/2006/relationships/image" Target="media/image8.jpg"/><Relationship Id="rId119" Type="http://schemas.openxmlformats.org/officeDocument/2006/relationships/hyperlink" Target="https://www.euractiv.com/section/biofuels/news/lawmaker-proposes-raising-eu-green-jet-fuel-target-to-100-by-2050/" TargetMode="External"/><Relationship Id="rId44" Type="http://schemas.openxmlformats.org/officeDocument/2006/relationships/image" Target="media/image29.jpeg"/><Relationship Id="rId65" Type="http://schemas.openxmlformats.org/officeDocument/2006/relationships/hyperlink" Target="https://carbongap.org/infographics/?utm_source=substack&amp;utm_medium=email" TargetMode="External"/><Relationship Id="rId86" Type="http://schemas.openxmlformats.org/officeDocument/2006/relationships/hyperlink" Target="https://transport.ec.europa.eu/transport-modes/air/environment/refueleu-aviation_en" TargetMode="External"/><Relationship Id="rId130" Type="http://schemas.openxmlformats.org/officeDocument/2006/relationships/hyperlink" Target="https://cms.zerocarbonshipping.com/media/uploads/documents/Global-Availability-of-Biogenic-CO2-and-Implications-for-Maritime-Decarbonization.pdf" TargetMode="External"/><Relationship Id="rId151" Type="http://schemas.openxmlformats.org/officeDocument/2006/relationships/hyperlink" Target="https://doi.org/10.3390/ma12121973" TargetMode="External"/><Relationship Id="rId172" Type="http://schemas.openxmlformats.org/officeDocument/2006/relationships/hyperlink" Target="https://doi.org/10.1007/s12155-015-9694-y" TargetMode="External"/><Relationship Id="rId193" Type="http://schemas.openxmlformats.org/officeDocument/2006/relationships/image" Target="media/image51.jpeg"/><Relationship Id="rId13" Type="http://schemas.openxmlformats.org/officeDocument/2006/relationships/header" Target="header1.xml"/><Relationship Id="rId109" Type="http://schemas.openxmlformats.org/officeDocument/2006/relationships/hyperlink" Target="https://www.iea.org/reports/tracking-clean-energy-progress-2023" TargetMode="External"/><Relationship Id="rId34" Type="http://schemas.openxmlformats.org/officeDocument/2006/relationships/image" Target="media/image19.jpeg"/><Relationship Id="rId55" Type="http://schemas.openxmlformats.org/officeDocument/2006/relationships/hyperlink" Target="https://doi.org/10.1016/j.endeavour.2016.07.002" TargetMode="External"/><Relationship Id="rId76" Type="http://schemas.openxmlformats.org/officeDocument/2006/relationships/hyperlink" Target="https://doi.org/10.1038/s41558-022-01485-4" TargetMode="External"/><Relationship Id="rId97" Type="http://schemas.openxmlformats.org/officeDocument/2006/relationships/hyperlink" Target="https://doi.org/10.3390/en14061613" TargetMode="External"/><Relationship Id="rId120" Type="http://schemas.openxmlformats.org/officeDocument/2006/relationships/hyperlink" Target="https://doi.org/10.1002/j.1556-6678.2010.tb00151.x" TargetMode="External"/><Relationship Id="rId141" Type="http://schemas.openxmlformats.org/officeDocument/2006/relationships/hyperlink" Target="https://ispt.eu/media/20230508-FINAL-SOE-public-report-ISPT.pdf" TargetMode="External"/><Relationship Id="rId7" Type="http://schemas.openxmlformats.org/officeDocument/2006/relationships/endnotes" Target="endnotes.xml"/><Relationship Id="rId71" Type="http://schemas.openxmlformats.org/officeDocument/2006/relationships/hyperlink" Target="http://www.revistacomunicacion.org/pdf/n3/resenas/research_design_qualitative_quantitative_and_mixed_methods_approaches.pdf" TargetMode="External"/><Relationship Id="rId92" Type="http://schemas.openxmlformats.org/officeDocument/2006/relationships/hyperlink" Target="https://doi.org/10.1016/j.enconman.2024.118728" TargetMode="External"/><Relationship Id="rId162" Type="http://schemas.openxmlformats.org/officeDocument/2006/relationships/hyperlink" Target="https://doi.org/10.1016/j.ecocom.2017.10.007" TargetMode="External"/><Relationship Id="rId183"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jp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s://media-publications.bcg.com/Turning-the-European-Green-H2-Dream-into-Reality.pdf" TargetMode="External"/><Relationship Id="rId87" Type="http://schemas.openxmlformats.org/officeDocument/2006/relationships/hyperlink" Target="https://eur-lex.europa.eu/legal-content/EN/ALL/?uri=CELEX:52023DC0650" TargetMode="External"/><Relationship Id="rId110" Type="http://schemas.openxmlformats.org/officeDocument/2006/relationships/hyperlink" Target="https://doi.org/10.1017/9781009157926.001" TargetMode="External"/><Relationship Id="rId115" Type="http://schemas.openxmlformats.org/officeDocument/2006/relationships/hyperlink" Target="https://doi.org/10.1016/j.jeem.2020.102360" TargetMode="External"/><Relationship Id="rId131" Type="http://schemas.openxmlformats.org/officeDocument/2006/relationships/hyperlink" Target="https://doi.org/10.1088/2516-1083/abf1ce" TargetMode="External"/><Relationship Id="rId136" Type="http://schemas.openxmlformats.org/officeDocument/2006/relationships/hyperlink" Target="https://www.transportenvironment.org/uploads/files/2024_01_E-kerosene_Tracker_TE_2024-04-29-155012_cevi.pdf" TargetMode="External"/><Relationship Id="rId157" Type="http://schemas.openxmlformats.org/officeDocument/2006/relationships/hyperlink" Target="https://doi.org/10.1016/j.cej.2018.10.170" TargetMode="External"/><Relationship Id="rId178" Type="http://schemas.openxmlformats.org/officeDocument/2006/relationships/hyperlink" Target="https://doi.org/10.1039/c6cs00403b" TargetMode="External"/><Relationship Id="rId61" Type="http://schemas.openxmlformats.org/officeDocument/2006/relationships/hyperlink" Target="https://doi.org/10.1016/j.renene.2014.03.002" TargetMode="External"/><Relationship Id="rId82" Type="http://schemas.openxmlformats.org/officeDocument/2006/relationships/hyperlink" Target="https://climate.ec.europa.eu/eu-action/funding-climate-action/innovation-fund/what-innovation-fund_en" TargetMode="External"/><Relationship Id="rId152" Type="http://schemas.openxmlformats.org/officeDocument/2006/relationships/hyperlink" Target="https://doi.org/10.1016/j.enconman.2023.117427" TargetMode="External"/><Relationship Id="rId173" Type="http://schemas.openxmlformats.org/officeDocument/2006/relationships/hyperlink" Target="https://data.worldbank.org/indicator/NY.GDP.MKTP.CD" TargetMode="External"/><Relationship Id="rId194" Type="http://schemas.openxmlformats.org/officeDocument/2006/relationships/image" Target="media/image52.jpeg"/><Relationship Id="rId19" Type="http://schemas.openxmlformats.org/officeDocument/2006/relationships/diagramLayout" Target="diagrams/layout1.xml"/><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hyperlink" Target="https://doi.org/10.1016/j.rser.2018.07.030" TargetMode="External"/><Relationship Id="rId77" Type="http://schemas.openxmlformats.org/officeDocument/2006/relationships/hyperlink" Target="https://doi.org/10.3390/en17143388" TargetMode="External"/><Relationship Id="rId100" Type="http://schemas.openxmlformats.org/officeDocument/2006/relationships/hyperlink" Target="https://doi.org/10.3390/aerospace10030218" TargetMode="External"/><Relationship Id="rId105" Type="http://schemas.openxmlformats.org/officeDocument/2006/relationships/hyperlink" Target="https://doi.org/10.1016/j.apenergy.2018.02.007" TargetMode="External"/><Relationship Id="rId126" Type="http://schemas.openxmlformats.org/officeDocument/2006/relationships/hyperlink" Target="https://doi.org/10.1016/j.jcou.2023.102449" TargetMode="External"/><Relationship Id="rId147" Type="http://schemas.openxmlformats.org/officeDocument/2006/relationships/hyperlink" Target="https://doi.org/10.1016/j.ijhydene.2023.09.094" TargetMode="External"/><Relationship Id="rId168" Type="http://schemas.openxmlformats.org/officeDocument/2006/relationships/hyperlink" Target="https://doi.org/10.1007/978-3-319-72459-1" TargetMode="Externa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hyperlink" Target="https://doi.org/10.1186/1471-2288-11-100" TargetMode="External"/><Relationship Id="rId93" Type="http://schemas.openxmlformats.org/officeDocument/2006/relationships/hyperlink" Target="https://doi.org/10.1039/c7ee00465f" TargetMode="External"/><Relationship Id="rId98" Type="http://schemas.openxmlformats.org/officeDocument/2006/relationships/hyperlink" Target="https://doi.org/10.20944/preprints202307.1419.v1" TargetMode="External"/><Relationship Id="rId121" Type="http://schemas.openxmlformats.org/officeDocument/2006/relationships/hyperlink" Target="https://doi.org/10.1016/j.jclepro.2020.122219" TargetMode="External"/><Relationship Id="rId142" Type="http://schemas.openxmlformats.org/officeDocument/2006/relationships/hyperlink" Target="https://doi.org/10.1039/d2se00757f" TargetMode="External"/><Relationship Id="rId163" Type="http://schemas.openxmlformats.org/officeDocument/2006/relationships/hyperlink" Target="https://doi.org/10.7302/5825" TargetMode="External"/><Relationship Id="rId184" Type="http://schemas.openxmlformats.org/officeDocument/2006/relationships/hyperlink" Target="https://www.youtube.com/watch?v=Rpr81taU1wU" TargetMode="External"/><Relationship Id="rId189" Type="http://schemas.openxmlformats.org/officeDocument/2006/relationships/image" Target="media/image47.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jpeg"/><Relationship Id="rId67" Type="http://schemas.openxmlformats.org/officeDocument/2006/relationships/hyperlink" Target="https://doi.org/10.1016/j.egypro.2019.01.308" TargetMode="External"/><Relationship Id="rId116" Type="http://schemas.openxmlformats.org/officeDocument/2006/relationships/hyperlink" Target="https://doi.org/10.1080/09537329808524310" TargetMode="External"/><Relationship Id="rId137" Type="http://schemas.openxmlformats.org/officeDocument/2006/relationships/hyperlink" Target="https://doi.org/10.17226/25259" TargetMode="External"/><Relationship Id="rId158" Type="http://schemas.openxmlformats.org/officeDocument/2006/relationships/hyperlink" Target="https://doi.org/10.1039/d3se00978e" TargetMode="External"/><Relationship Id="rId20" Type="http://schemas.openxmlformats.org/officeDocument/2006/relationships/diagramQuickStyle" Target="diagrams/quickStyle1.xml"/><Relationship Id="rId41" Type="http://schemas.openxmlformats.org/officeDocument/2006/relationships/image" Target="media/image26.jpeg"/><Relationship Id="rId62" Type="http://schemas.openxmlformats.org/officeDocument/2006/relationships/hyperlink" Target="https://doi.org/10.1038/s41893-022-01046-9" TargetMode="External"/><Relationship Id="rId83" Type="http://schemas.openxmlformats.org/officeDocument/2006/relationships/hyperlink" Target="https://research-and-innovation.ec.europa.eu/funding/funding-opportunities/funding-programmes-and-open-calls/horizon-europe_en" TargetMode="External"/><Relationship Id="rId88" Type="http://schemas.openxmlformats.org/officeDocument/2006/relationships/hyperlink" Target="https://doi.org/10.2760/582433" TargetMode="External"/><Relationship Id="rId111" Type="http://schemas.openxmlformats.org/officeDocument/2006/relationships/hyperlink" Target="https://www.irena.org/-/media/Files/IRENA/Agency/Publication/2020/Dec/IRENA_Green_hydrogen_cost_2020.pdf" TargetMode="External"/><Relationship Id="rId132" Type="http://schemas.openxmlformats.org/officeDocument/2006/relationships/hyperlink" Target="https://doi.org/10.3390/su141710658" TargetMode="External"/><Relationship Id="rId153" Type="http://schemas.openxmlformats.org/officeDocument/2006/relationships/hyperlink" Target="https://www.youtube.com/watch?v=Rpr81taU1wU" TargetMode="External"/><Relationship Id="rId174" Type="http://schemas.openxmlformats.org/officeDocument/2006/relationships/hyperlink" Target="https://world-nuclear.org/information-library/country-profiles/others/european-union" TargetMode="External"/><Relationship Id="rId179" Type="http://schemas.openxmlformats.org/officeDocument/2006/relationships/header" Target="header2.xml"/><Relationship Id="rId195" Type="http://schemas.openxmlformats.org/officeDocument/2006/relationships/image" Target="media/image53.jpeg"/><Relationship Id="rId190" Type="http://schemas.openxmlformats.org/officeDocument/2006/relationships/image" Target="media/image48.jpeg"/><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hyperlink" Target="https://doi.org/10.1016/j.egyr.2024.03.002" TargetMode="External"/><Relationship Id="rId106" Type="http://schemas.openxmlformats.org/officeDocument/2006/relationships/hyperlink" Target="https://marginalcarbon.substack.com/p/removals-are-better-than-some-reductions" TargetMode="External"/><Relationship Id="rId127" Type="http://schemas.openxmlformats.org/officeDocument/2006/relationships/hyperlink" Target="https://doi.org/10.1016/j.rser.2023.113637" TargetMode="External"/><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image" Target="media/image37.jpeg"/><Relationship Id="rId73" Type="http://schemas.openxmlformats.org/officeDocument/2006/relationships/hyperlink" Target="https://doi.org/10.1016/j.envres.2024.118163" TargetMode="External"/><Relationship Id="rId78" Type="http://schemas.openxmlformats.org/officeDocument/2006/relationships/hyperlink" Target="https://www.europeanbiogas.eu/wp-content/uploads/2022/10/Biogenic-CO2-from-the-biogas-industry_Sept2022-1.pdf" TargetMode="External"/><Relationship Id="rId94" Type="http://schemas.openxmlformats.org/officeDocument/2006/relationships/hyperlink" Target="https://doi.org/10.1016/j.respol.2015.11.001" TargetMode="External"/><Relationship Id="rId99" Type="http://schemas.openxmlformats.org/officeDocument/2006/relationships/hyperlink" Target="https://doi.org/10.1016/s0048-7333(02)00062-8" TargetMode="External"/><Relationship Id="rId101" Type="http://schemas.openxmlformats.org/officeDocument/2006/relationships/hyperlink" Target="https://doi.org/10.1007/s13399-022-03671-y" TargetMode="External"/><Relationship Id="rId122" Type="http://schemas.openxmlformats.org/officeDocument/2006/relationships/hyperlink" Target="https://doi.org/10.1039/c9se00479c" TargetMode="External"/><Relationship Id="rId143" Type="http://schemas.openxmlformats.org/officeDocument/2006/relationships/hyperlink" Target="https://doi.org/10.1016/j.egyr.2024.08.011" TargetMode="External"/><Relationship Id="rId148" Type="http://schemas.openxmlformats.org/officeDocument/2006/relationships/hyperlink" Target="https://doi.org/10.1016/j.cej.2023.142317" TargetMode="External"/><Relationship Id="rId164" Type="http://schemas.openxmlformats.org/officeDocument/2006/relationships/hyperlink" Target="http://doi.org./10.13140/RG.2.1.4889.7128" TargetMode="External"/><Relationship Id="rId169" Type="http://schemas.openxmlformats.org/officeDocument/2006/relationships/hyperlink" Target="https://www.un.org/en/climatechange/paris-agreement" TargetMode="External"/><Relationship Id="rId18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39.emf"/><Relationship Id="rId26" Type="http://schemas.openxmlformats.org/officeDocument/2006/relationships/image" Target="media/image11.png"/><Relationship Id="rId47" Type="http://schemas.openxmlformats.org/officeDocument/2006/relationships/image" Target="media/image32.jpeg"/><Relationship Id="rId68" Type="http://schemas.openxmlformats.org/officeDocument/2006/relationships/hyperlink" Target="https://doi.org/10.1016/j.rser.2022.112398" TargetMode="External"/><Relationship Id="rId89" Type="http://schemas.openxmlformats.org/officeDocument/2006/relationships/hyperlink" Target="https://www.europarl.europa.eu/doceo/document/TA-9-2022-0297_EN.html" TargetMode="External"/><Relationship Id="rId112" Type="http://schemas.openxmlformats.org/officeDocument/2006/relationships/hyperlink" Target="http://www.dspace.cam.ac.uk/handle/1810/194736" TargetMode="External"/><Relationship Id="rId133" Type="http://schemas.openxmlformats.org/officeDocument/2006/relationships/hyperlink" Target="https://doi.org/10.9770/jesi.2020.7.4(21)" TargetMode="External"/><Relationship Id="rId154" Type="http://schemas.openxmlformats.org/officeDocument/2006/relationships/hyperlink" Target="https://doi.org/10.3390/pr9061046" TargetMode="External"/><Relationship Id="rId175" Type="http://schemas.openxmlformats.org/officeDocument/2006/relationships/hyperlink" Target="https://doi.org/10.1016/j.eneco.2011.11.006" TargetMode="External"/><Relationship Id="rId196" Type="http://schemas.openxmlformats.org/officeDocument/2006/relationships/image" Target="media/image54.jpeg"/><Relationship Id="rId16" Type="http://schemas.openxmlformats.org/officeDocument/2006/relationships/image" Target="media/image6.png"/><Relationship Id="rId37" Type="http://schemas.openxmlformats.org/officeDocument/2006/relationships/image" Target="media/image22.jpeg"/><Relationship Id="rId58" Type="http://schemas.openxmlformats.org/officeDocument/2006/relationships/hyperlink" Target="https://doi.org/10.1016/j.scitotenv.2020.137524" TargetMode="External"/><Relationship Id="rId79" Type="http://schemas.openxmlformats.org/officeDocument/2006/relationships/hyperlink" Target="https://commission.europa.eu/strategy-and-policy/priorities-2019-2024/european-green-deal_en" TargetMode="External"/><Relationship Id="rId102" Type="http://schemas.openxmlformats.org/officeDocument/2006/relationships/hyperlink" Target="https://climeworks.com/navigating-decarbonization-in-aviation-with-carbon-removal-solutions" TargetMode="External"/><Relationship Id="rId123" Type="http://schemas.openxmlformats.org/officeDocument/2006/relationships/hyperlink" Target="https://doi.org/10.1016/j.scitotenv.2019.01.197" TargetMode="External"/><Relationship Id="rId144" Type="http://schemas.openxmlformats.org/officeDocument/2006/relationships/hyperlink" Target="https://doi.org/10.1136/bmj.n160" TargetMode="External"/><Relationship Id="rId90" Type="http://schemas.openxmlformats.org/officeDocument/2006/relationships/hyperlink" Target="https://investeu.europa.eu/index_en" TargetMode="External"/><Relationship Id="rId165" Type="http://schemas.openxmlformats.org/officeDocument/2006/relationships/hyperlink" Target="https://www.sunfire.de/files/sunfire/images/content/Produkte_Technologie/factsheets/Sunfire-Factsheet-SynLink-SOEC_2023Nov.pdf" TargetMode="External"/><Relationship Id="rId186" Type="http://schemas.openxmlformats.org/officeDocument/2006/relationships/image" Target="media/image44.png"/><Relationship Id="rId27" Type="http://schemas.openxmlformats.org/officeDocument/2006/relationships/image" Target="media/image12.png"/><Relationship Id="rId48" Type="http://schemas.openxmlformats.org/officeDocument/2006/relationships/image" Target="media/image33.jpeg"/><Relationship Id="rId69" Type="http://schemas.openxmlformats.org/officeDocument/2006/relationships/hyperlink" Target="https://doi.org/10.1007/s11869-022-01156-5" TargetMode="External"/><Relationship Id="rId113" Type="http://schemas.openxmlformats.org/officeDocument/2006/relationships/hyperlink" Target="https://www.iata.org/en/publications/economics/fuel-monitor/" TargetMode="External"/><Relationship Id="rId134" Type="http://schemas.openxmlformats.org/officeDocument/2006/relationships/hyperlink" Target="https://doi.org/10.1029/rg027i001p00115" TargetMode="External"/><Relationship Id="rId80" Type="http://schemas.openxmlformats.org/officeDocument/2006/relationships/hyperlink" Target="https://ec.europa.eu/commission/presscorner/detail/en/ip_22_7609" TargetMode="External"/><Relationship Id="rId155" Type="http://schemas.openxmlformats.org/officeDocument/2006/relationships/hyperlink" Target="https://doi.org/10.1002/2014jd022098" TargetMode="External"/><Relationship Id="rId176" Type="http://schemas.openxmlformats.org/officeDocument/2006/relationships/hyperlink" Target="https://doi.org/10.1016/j.jcou.2021.101459" TargetMode="External"/><Relationship Id="rId197" Type="http://schemas.openxmlformats.org/officeDocument/2006/relationships/fontTable" Target="fontTable.xml"/><Relationship Id="rId17" Type="http://schemas.openxmlformats.org/officeDocument/2006/relationships/image" Target="media/image7.jpg"/><Relationship Id="rId38" Type="http://schemas.openxmlformats.org/officeDocument/2006/relationships/image" Target="media/image23.jpeg"/><Relationship Id="rId59" Type="http://schemas.openxmlformats.org/officeDocument/2006/relationships/hyperlink" Target="https://doi.org/10.1016/j.fuel.2022.127316" TargetMode="External"/><Relationship Id="rId103" Type="http://schemas.openxmlformats.org/officeDocument/2006/relationships/hyperlink" Target="https://doi.org/10.1016/j.techfore.2006.03.002" TargetMode="External"/><Relationship Id="rId124" Type="http://schemas.openxmlformats.org/officeDocument/2006/relationships/hyperlink" Target="https://doi.org/10.1017/9781009157940" TargetMode="External"/><Relationship Id="rId70" Type="http://schemas.openxmlformats.org/officeDocument/2006/relationships/hyperlink" Target="https://www.consilium.europa.eu/en/press/press-releases/2023/10/09/refueleu-aviation-initiative-council-adopts-new-law-to-decarbonise-the-aviation-sector/" TargetMode="External"/><Relationship Id="rId91" Type="http://schemas.openxmlformats.org/officeDocument/2006/relationships/hyperlink" Target="https://doi.org/10.2822/309946" TargetMode="External"/><Relationship Id="rId145" Type="http://schemas.openxmlformats.org/officeDocument/2006/relationships/hyperlink" Target="https://doi.org/10.1111/jebm.12265" TargetMode="External"/><Relationship Id="rId166" Type="http://schemas.openxmlformats.org/officeDocument/2006/relationships/hyperlink" Target="https://doi.org/10.1016/j.pecs.2023.101073" TargetMode="External"/><Relationship Id="rId187" Type="http://schemas.openxmlformats.org/officeDocument/2006/relationships/image" Target="media/image45.jpe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4.jpeg"/><Relationship Id="rId114" Type="http://schemas.openxmlformats.org/officeDocument/2006/relationships/hyperlink" Target="https://doi.org/10.1016/j.eneco.2021.105624" TargetMode="External"/><Relationship Id="rId60" Type="http://schemas.openxmlformats.org/officeDocument/2006/relationships/hyperlink" Target="https://dx.doi.org/10.1021/acs.iecr.0c05392?ref=pdf" TargetMode="External"/><Relationship Id="rId81" Type="http://schemas.openxmlformats.org/officeDocument/2006/relationships/hyperlink" Target="https://ec.europa.eu/commission/presscorner/detail/en/ip_23_594" TargetMode="External"/><Relationship Id="rId135" Type="http://schemas.openxmlformats.org/officeDocument/2006/relationships/hyperlink" Target="https://doi.org/10.1016/j.scitotenv.2023.166005" TargetMode="External"/><Relationship Id="rId156" Type="http://schemas.openxmlformats.org/officeDocument/2006/relationships/hyperlink" Target="https://doi.org/10.1038/s41467-023-39749-y" TargetMode="External"/><Relationship Id="rId177" Type="http://schemas.openxmlformats.org/officeDocument/2006/relationships/hyperlink" Target="https://doi.org/10.3389/frsus.2023.1167713" TargetMode="External"/><Relationship Id="rId198" Type="http://schemas.openxmlformats.org/officeDocument/2006/relationships/theme" Target="theme/theme1.xml"/><Relationship Id="rId18" Type="http://schemas.openxmlformats.org/officeDocument/2006/relationships/diagramData" Target="diagrams/data1.xml"/><Relationship Id="rId39" Type="http://schemas.openxmlformats.org/officeDocument/2006/relationships/image" Target="media/image24.jpeg"/><Relationship Id="rId50" Type="http://schemas.openxmlformats.org/officeDocument/2006/relationships/image" Target="media/image35.jpeg"/><Relationship Id="rId104" Type="http://schemas.openxmlformats.org/officeDocument/2006/relationships/hyperlink" Target="https://elib.dlr.de/78726/1/MP-AVT-209-09.pdf" TargetMode="External"/><Relationship Id="rId125" Type="http://schemas.openxmlformats.org/officeDocument/2006/relationships/hyperlink" Target="https://www.mckinsey.com/capabilities/sustainability/our-insights/carbon-removals-how-to-scale-a-new-gigaton-industry?utm_source=substack&amp;utm_medium=email" TargetMode="External"/><Relationship Id="rId146" Type="http://schemas.openxmlformats.org/officeDocument/2006/relationships/hyperlink" Target="https://doi.org/10.1016/j.apenergy.2021.117322" TargetMode="External"/><Relationship Id="rId167" Type="http://schemas.openxmlformats.org/officeDocument/2006/relationships/hyperlink" Target="https://doi.org/10.1016/j.jclepro.2022.133097" TargetMode="External"/><Relationship Id="rId188" Type="http://schemas.openxmlformats.org/officeDocument/2006/relationships/image" Target="media/image46.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9D3E59-59C6-C443-A79B-6B51D17D3EB3}" type="doc">
      <dgm:prSet loTypeId="urn:microsoft.com/office/officeart/2005/8/layout/venn2" loCatId="" qsTypeId="urn:microsoft.com/office/officeart/2005/8/quickstyle/simple1" qsCatId="simple" csTypeId="urn:microsoft.com/office/officeart/2005/8/colors/accent0_1" csCatId="mainScheme" phldr="1"/>
      <dgm:spPr/>
      <dgm:t>
        <a:bodyPr/>
        <a:lstStyle/>
        <a:p>
          <a:endParaRPr lang="en-GB"/>
        </a:p>
      </dgm:t>
    </dgm:pt>
    <dgm:pt modelId="{524AEB3F-94B8-E24F-A9E6-18FD37C05883}">
      <dgm:prSet phldrT="[Text]"/>
      <dgm:spPr/>
      <dgm:t>
        <a:bodyPr/>
        <a:lstStyle/>
        <a:p>
          <a:r>
            <a:rPr lang="en-GB" dirty="0"/>
            <a:t>DAC (or synonym) + </a:t>
          </a:r>
          <a:r>
            <a:rPr lang="en-GB" dirty="0" err="1"/>
            <a:t>eSAF</a:t>
          </a:r>
          <a:r>
            <a:rPr lang="en-GB" dirty="0"/>
            <a:t> (or synonym): 48 hits</a:t>
          </a:r>
        </a:p>
      </dgm:t>
    </dgm:pt>
    <dgm:pt modelId="{70AE7750-AEDE-4B46-83DE-C2A32EF1ABF8}" type="parTrans" cxnId="{B7276B60-8C36-C146-81D4-DFA5710B9D36}">
      <dgm:prSet/>
      <dgm:spPr/>
      <dgm:t>
        <a:bodyPr/>
        <a:lstStyle/>
        <a:p>
          <a:endParaRPr lang="en-GB"/>
        </a:p>
      </dgm:t>
    </dgm:pt>
    <dgm:pt modelId="{57015125-99EB-4148-8382-5A270D9F9836}" type="sibTrans" cxnId="{B7276B60-8C36-C146-81D4-DFA5710B9D36}">
      <dgm:prSet/>
      <dgm:spPr/>
      <dgm:t>
        <a:bodyPr/>
        <a:lstStyle/>
        <a:p>
          <a:endParaRPr lang="en-GB"/>
        </a:p>
      </dgm:t>
    </dgm:pt>
    <dgm:pt modelId="{C2138438-E77B-394E-906C-A8308BE24987}">
      <dgm:prSet phldrT="[Text]"/>
      <dgm:spPr/>
      <dgm:t>
        <a:bodyPr/>
        <a:lstStyle/>
        <a:p>
          <a:r>
            <a:rPr lang="en-GB" dirty="0"/>
            <a:t>Limit to articles: 35 hits</a:t>
          </a:r>
        </a:p>
      </dgm:t>
    </dgm:pt>
    <dgm:pt modelId="{8D9D0848-C045-4446-918D-CF8CDC57617B}" type="parTrans" cxnId="{E924F816-6FA2-6B4B-B5F3-FD4F3FF2C1E6}">
      <dgm:prSet/>
      <dgm:spPr/>
      <dgm:t>
        <a:bodyPr/>
        <a:lstStyle/>
        <a:p>
          <a:endParaRPr lang="en-GB"/>
        </a:p>
      </dgm:t>
    </dgm:pt>
    <dgm:pt modelId="{A566D5D9-27FF-4A41-8F22-7722DCD82F2C}" type="sibTrans" cxnId="{E924F816-6FA2-6B4B-B5F3-FD4F3FF2C1E6}">
      <dgm:prSet/>
      <dgm:spPr/>
      <dgm:t>
        <a:bodyPr/>
        <a:lstStyle/>
        <a:p>
          <a:endParaRPr lang="en-GB"/>
        </a:p>
      </dgm:t>
    </dgm:pt>
    <dgm:pt modelId="{4D075698-48C2-EE49-8632-CE4AE9AF041F}">
      <dgm:prSet phldrT="[Text]"/>
      <dgm:spPr/>
      <dgm:t>
        <a:bodyPr/>
        <a:lstStyle/>
        <a:p>
          <a:r>
            <a:rPr lang="en-GB" dirty="0"/>
            <a:t>Open access: 23 hits</a:t>
          </a:r>
        </a:p>
      </dgm:t>
    </dgm:pt>
    <dgm:pt modelId="{42973B39-F375-624A-99E6-6D8D47646571}" type="parTrans" cxnId="{64AC6413-2736-994F-9408-92B9BB49EFA5}">
      <dgm:prSet/>
      <dgm:spPr/>
      <dgm:t>
        <a:bodyPr/>
        <a:lstStyle/>
        <a:p>
          <a:endParaRPr lang="en-GB"/>
        </a:p>
      </dgm:t>
    </dgm:pt>
    <dgm:pt modelId="{156B2069-EB7B-B548-B609-0281D8D6DA7A}" type="sibTrans" cxnId="{64AC6413-2736-994F-9408-92B9BB49EFA5}">
      <dgm:prSet/>
      <dgm:spPr/>
      <dgm:t>
        <a:bodyPr/>
        <a:lstStyle/>
        <a:p>
          <a:endParaRPr lang="en-GB"/>
        </a:p>
      </dgm:t>
    </dgm:pt>
    <dgm:pt modelId="{12FB1F22-A842-134E-84F3-42D47D7F7EE6}">
      <dgm:prSet phldrT="[Text]"/>
      <dgm:spPr/>
      <dgm:t>
        <a:bodyPr/>
        <a:lstStyle/>
        <a:p>
          <a:r>
            <a:rPr lang="en-GB"/>
            <a:t>Individual </a:t>
          </a:r>
          <a:r>
            <a:rPr lang="en-GB" dirty="0"/>
            <a:t>abstract assessment: 10 hits</a:t>
          </a:r>
        </a:p>
      </dgm:t>
    </dgm:pt>
    <dgm:pt modelId="{81249516-9B51-B64C-A459-A1436E060ACB}" type="parTrans" cxnId="{8F2BD2CA-87B2-C248-A9FE-1FD2E6FAB723}">
      <dgm:prSet/>
      <dgm:spPr/>
      <dgm:t>
        <a:bodyPr/>
        <a:lstStyle/>
        <a:p>
          <a:endParaRPr lang="en-GB"/>
        </a:p>
      </dgm:t>
    </dgm:pt>
    <dgm:pt modelId="{443C3936-204D-F94F-93B8-8ACCEFE8DDFF}" type="sibTrans" cxnId="{8F2BD2CA-87B2-C248-A9FE-1FD2E6FAB723}">
      <dgm:prSet/>
      <dgm:spPr/>
      <dgm:t>
        <a:bodyPr/>
        <a:lstStyle/>
        <a:p>
          <a:endParaRPr lang="en-GB"/>
        </a:p>
      </dgm:t>
    </dgm:pt>
    <dgm:pt modelId="{BB3EEBD5-DA4C-E742-94F2-98C7ACBC474A}">
      <dgm:prSet phldrT="[Text]"/>
      <dgm:spPr>
        <a:ln>
          <a:solidFill>
            <a:schemeClr val="dk1">
              <a:shade val="80000"/>
              <a:hueOff val="0"/>
              <a:satOff val="0"/>
              <a:lumOff val="0"/>
            </a:schemeClr>
          </a:solidFill>
          <a:prstDash val="dash"/>
        </a:ln>
      </dgm:spPr>
      <dgm:t>
        <a:bodyPr/>
        <a:lstStyle/>
        <a:p>
          <a:pPr algn="ctr"/>
          <a:r>
            <a:rPr lang="en-GB" dirty="0"/>
            <a:t>Academic landscape</a:t>
          </a:r>
        </a:p>
      </dgm:t>
    </dgm:pt>
    <dgm:pt modelId="{E348E2CC-25AD-7A44-8834-3EF269F15F3E}" type="parTrans" cxnId="{721328D7-FF45-8445-9A0D-5D6FDE3206A3}">
      <dgm:prSet/>
      <dgm:spPr/>
      <dgm:t>
        <a:bodyPr/>
        <a:lstStyle/>
        <a:p>
          <a:endParaRPr lang="en-GB"/>
        </a:p>
      </dgm:t>
    </dgm:pt>
    <dgm:pt modelId="{56CA11DD-E98B-B145-B3B6-A4DD6BF2076A}" type="sibTrans" cxnId="{721328D7-FF45-8445-9A0D-5D6FDE3206A3}">
      <dgm:prSet/>
      <dgm:spPr/>
      <dgm:t>
        <a:bodyPr/>
        <a:lstStyle/>
        <a:p>
          <a:endParaRPr lang="en-GB"/>
        </a:p>
      </dgm:t>
    </dgm:pt>
    <dgm:pt modelId="{657CF7C4-BFFC-3044-880B-178B22081A64}" type="pres">
      <dgm:prSet presAssocID="{1A9D3E59-59C6-C443-A79B-6B51D17D3EB3}" presName="Name0" presStyleCnt="0">
        <dgm:presLayoutVars>
          <dgm:chMax val="7"/>
          <dgm:resizeHandles val="exact"/>
        </dgm:presLayoutVars>
      </dgm:prSet>
      <dgm:spPr/>
    </dgm:pt>
    <dgm:pt modelId="{D4A944CD-EF86-9C42-B5E7-0945F346CB98}" type="pres">
      <dgm:prSet presAssocID="{1A9D3E59-59C6-C443-A79B-6B51D17D3EB3}" presName="comp1" presStyleCnt="0"/>
      <dgm:spPr/>
    </dgm:pt>
    <dgm:pt modelId="{E737CF6B-C91E-E54E-949B-A81129A01392}" type="pres">
      <dgm:prSet presAssocID="{1A9D3E59-59C6-C443-A79B-6B51D17D3EB3}" presName="circle1" presStyleLbl="node1" presStyleIdx="0" presStyleCnt="5"/>
      <dgm:spPr/>
    </dgm:pt>
    <dgm:pt modelId="{DF2C2E26-AB26-544F-BD80-C86D5799BD3B}" type="pres">
      <dgm:prSet presAssocID="{1A9D3E59-59C6-C443-A79B-6B51D17D3EB3}" presName="c1text" presStyleLbl="node1" presStyleIdx="0" presStyleCnt="5">
        <dgm:presLayoutVars>
          <dgm:bulletEnabled val="1"/>
        </dgm:presLayoutVars>
      </dgm:prSet>
      <dgm:spPr/>
    </dgm:pt>
    <dgm:pt modelId="{A7117407-AB30-4C44-93F7-7F8F7B7DEF6A}" type="pres">
      <dgm:prSet presAssocID="{1A9D3E59-59C6-C443-A79B-6B51D17D3EB3}" presName="comp2" presStyleCnt="0"/>
      <dgm:spPr/>
    </dgm:pt>
    <dgm:pt modelId="{6C02740B-25F2-A744-9F32-BB95D0E8B25B}" type="pres">
      <dgm:prSet presAssocID="{1A9D3E59-59C6-C443-A79B-6B51D17D3EB3}" presName="circle2" presStyleLbl="node1" presStyleIdx="1" presStyleCnt="5"/>
      <dgm:spPr/>
    </dgm:pt>
    <dgm:pt modelId="{91FD4D19-1A42-584A-B63E-8CCB5F36ADCA}" type="pres">
      <dgm:prSet presAssocID="{1A9D3E59-59C6-C443-A79B-6B51D17D3EB3}" presName="c2text" presStyleLbl="node1" presStyleIdx="1" presStyleCnt="5">
        <dgm:presLayoutVars>
          <dgm:bulletEnabled val="1"/>
        </dgm:presLayoutVars>
      </dgm:prSet>
      <dgm:spPr/>
    </dgm:pt>
    <dgm:pt modelId="{DAD76DE4-7A57-8443-A552-599C79EF090E}" type="pres">
      <dgm:prSet presAssocID="{1A9D3E59-59C6-C443-A79B-6B51D17D3EB3}" presName="comp3" presStyleCnt="0"/>
      <dgm:spPr/>
    </dgm:pt>
    <dgm:pt modelId="{3498438E-0E6D-BC4E-A535-8AAAEE9EB478}" type="pres">
      <dgm:prSet presAssocID="{1A9D3E59-59C6-C443-A79B-6B51D17D3EB3}" presName="circle3" presStyleLbl="node1" presStyleIdx="2" presStyleCnt="5"/>
      <dgm:spPr/>
    </dgm:pt>
    <dgm:pt modelId="{5EA83023-EEB9-714C-82F3-C33039258689}" type="pres">
      <dgm:prSet presAssocID="{1A9D3E59-59C6-C443-A79B-6B51D17D3EB3}" presName="c3text" presStyleLbl="node1" presStyleIdx="2" presStyleCnt="5">
        <dgm:presLayoutVars>
          <dgm:bulletEnabled val="1"/>
        </dgm:presLayoutVars>
      </dgm:prSet>
      <dgm:spPr/>
    </dgm:pt>
    <dgm:pt modelId="{1AD5A57B-4CEC-F147-B6DA-0703B35B0B41}" type="pres">
      <dgm:prSet presAssocID="{1A9D3E59-59C6-C443-A79B-6B51D17D3EB3}" presName="comp4" presStyleCnt="0"/>
      <dgm:spPr/>
    </dgm:pt>
    <dgm:pt modelId="{9B75BE7B-5F5D-BF48-93C8-39221245980C}" type="pres">
      <dgm:prSet presAssocID="{1A9D3E59-59C6-C443-A79B-6B51D17D3EB3}" presName="circle4" presStyleLbl="node1" presStyleIdx="3" presStyleCnt="5"/>
      <dgm:spPr/>
    </dgm:pt>
    <dgm:pt modelId="{F044C5AE-B982-2B4F-A08F-DEB8934F911C}" type="pres">
      <dgm:prSet presAssocID="{1A9D3E59-59C6-C443-A79B-6B51D17D3EB3}" presName="c4text" presStyleLbl="node1" presStyleIdx="3" presStyleCnt="5">
        <dgm:presLayoutVars>
          <dgm:bulletEnabled val="1"/>
        </dgm:presLayoutVars>
      </dgm:prSet>
      <dgm:spPr/>
    </dgm:pt>
    <dgm:pt modelId="{2DC53755-234C-5A47-80F5-936B00637A85}" type="pres">
      <dgm:prSet presAssocID="{1A9D3E59-59C6-C443-A79B-6B51D17D3EB3}" presName="comp5" presStyleCnt="0"/>
      <dgm:spPr/>
    </dgm:pt>
    <dgm:pt modelId="{5F23B502-819C-A24C-9C78-05837AAECF97}" type="pres">
      <dgm:prSet presAssocID="{1A9D3E59-59C6-C443-A79B-6B51D17D3EB3}" presName="circle5" presStyleLbl="node1" presStyleIdx="4" presStyleCnt="5"/>
      <dgm:spPr/>
    </dgm:pt>
    <dgm:pt modelId="{61A50671-1F8B-6C49-AF8A-CB026C76C27F}" type="pres">
      <dgm:prSet presAssocID="{1A9D3E59-59C6-C443-A79B-6B51D17D3EB3}" presName="c5text" presStyleLbl="node1" presStyleIdx="4" presStyleCnt="5">
        <dgm:presLayoutVars>
          <dgm:bulletEnabled val="1"/>
        </dgm:presLayoutVars>
      </dgm:prSet>
      <dgm:spPr/>
    </dgm:pt>
  </dgm:ptLst>
  <dgm:cxnLst>
    <dgm:cxn modelId="{9073B410-64B6-FD4E-9295-88B1C9E4499B}" type="presOf" srcId="{524AEB3F-94B8-E24F-A9E6-18FD37C05883}" destId="{6C02740B-25F2-A744-9F32-BB95D0E8B25B}" srcOrd="0" destOrd="0" presId="urn:microsoft.com/office/officeart/2005/8/layout/venn2"/>
    <dgm:cxn modelId="{64AC6413-2736-994F-9408-92B9BB49EFA5}" srcId="{1A9D3E59-59C6-C443-A79B-6B51D17D3EB3}" destId="{4D075698-48C2-EE49-8632-CE4AE9AF041F}" srcOrd="3" destOrd="0" parTransId="{42973B39-F375-624A-99E6-6D8D47646571}" sibTransId="{156B2069-EB7B-B548-B609-0281D8D6DA7A}"/>
    <dgm:cxn modelId="{E924F816-6FA2-6B4B-B5F3-FD4F3FF2C1E6}" srcId="{1A9D3E59-59C6-C443-A79B-6B51D17D3EB3}" destId="{C2138438-E77B-394E-906C-A8308BE24987}" srcOrd="2" destOrd="0" parTransId="{8D9D0848-C045-4446-918D-CF8CDC57617B}" sibTransId="{A566D5D9-27FF-4A41-8F22-7722DCD82F2C}"/>
    <dgm:cxn modelId="{AEBFFB20-D99B-EC4C-AD54-E9484D059F64}" type="presOf" srcId="{4D075698-48C2-EE49-8632-CE4AE9AF041F}" destId="{F044C5AE-B982-2B4F-A08F-DEB8934F911C}" srcOrd="1" destOrd="0" presId="urn:microsoft.com/office/officeart/2005/8/layout/venn2"/>
    <dgm:cxn modelId="{1903E242-E563-1349-938B-7F8BEBB65265}" type="presOf" srcId="{12FB1F22-A842-134E-84F3-42D47D7F7EE6}" destId="{5F23B502-819C-A24C-9C78-05837AAECF97}" srcOrd="0" destOrd="0" presId="urn:microsoft.com/office/officeart/2005/8/layout/venn2"/>
    <dgm:cxn modelId="{ACD0914B-4BD4-0942-85D4-6A1B8851768D}" type="presOf" srcId="{C2138438-E77B-394E-906C-A8308BE24987}" destId="{5EA83023-EEB9-714C-82F3-C33039258689}" srcOrd="1" destOrd="0" presId="urn:microsoft.com/office/officeart/2005/8/layout/venn2"/>
    <dgm:cxn modelId="{B7276B60-8C36-C146-81D4-DFA5710B9D36}" srcId="{1A9D3E59-59C6-C443-A79B-6B51D17D3EB3}" destId="{524AEB3F-94B8-E24F-A9E6-18FD37C05883}" srcOrd="1" destOrd="0" parTransId="{70AE7750-AEDE-4B46-83DE-C2A32EF1ABF8}" sibTransId="{57015125-99EB-4148-8382-5A270D9F9836}"/>
    <dgm:cxn modelId="{503FF871-D4D2-334B-B920-CC34CF83B029}" type="presOf" srcId="{C2138438-E77B-394E-906C-A8308BE24987}" destId="{3498438E-0E6D-BC4E-A535-8AAAEE9EB478}" srcOrd="0" destOrd="0" presId="urn:microsoft.com/office/officeart/2005/8/layout/venn2"/>
    <dgm:cxn modelId="{E9B72BA3-F62E-D345-B329-42DABEE9CE30}" type="presOf" srcId="{4D075698-48C2-EE49-8632-CE4AE9AF041F}" destId="{9B75BE7B-5F5D-BF48-93C8-39221245980C}" srcOrd="0" destOrd="0" presId="urn:microsoft.com/office/officeart/2005/8/layout/venn2"/>
    <dgm:cxn modelId="{E31CEFC0-04A1-9643-8B06-F84615B34966}" type="presOf" srcId="{BB3EEBD5-DA4C-E742-94F2-98C7ACBC474A}" destId="{E737CF6B-C91E-E54E-949B-A81129A01392}" srcOrd="0" destOrd="0" presId="urn:microsoft.com/office/officeart/2005/8/layout/venn2"/>
    <dgm:cxn modelId="{D8985CC9-C294-6644-BB18-EBFC00D01301}" type="presOf" srcId="{1A9D3E59-59C6-C443-A79B-6B51D17D3EB3}" destId="{657CF7C4-BFFC-3044-880B-178B22081A64}" srcOrd="0" destOrd="0" presId="urn:microsoft.com/office/officeart/2005/8/layout/venn2"/>
    <dgm:cxn modelId="{8F2BD2CA-87B2-C248-A9FE-1FD2E6FAB723}" srcId="{1A9D3E59-59C6-C443-A79B-6B51D17D3EB3}" destId="{12FB1F22-A842-134E-84F3-42D47D7F7EE6}" srcOrd="4" destOrd="0" parTransId="{81249516-9B51-B64C-A459-A1436E060ACB}" sibTransId="{443C3936-204D-F94F-93B8-8ACCEFE8DDFF}"/>
    <dgm:cxn modelId="{DAC841CC-1F5B-A14C-B5B5-360AC5B8A9CA}" type="presOf" srcId="{BB3EEBD5-DA4C-E742-94F2-98C7ACBC474A}" destId="{DF2C2E26-AB26-544F-BD80-C86D5799BD3B}" srcOrd="1" destOrd="0" presId="urn:microsoft.com/office/officeart/2005/8/layout/venn2"/>
    <dgm:cxn modelId="{721328D7-FF45-8445-9A0D-5D6FDE3206A3}" srcId="{1A9D3E59-59C6-C443-A79B-6B51D17D3EB3}" destId="{BB3EEBD5-DA4C-E742-94F2-98C7ACBC474A}" srcOrd="0" destOrd="0" parTransId="{E348E2CC-25AD-7A44-8834-3EF269F15F3E}" sibTransId="{56CA11DD-E98B-B145-B3B6-A4DD6BF2076A}"/>
    <dgm:cxn modelId="{E5AED8DB-9974-F64E-A014-6F15CBACD60C}" type="presOf" srcId="{524AEB3F-94B8-E24F-A9E6-18FD37C05883}" destId="{91FD4D19-1A42-584A-B63E-8CCB5F36ADCA}" srcOrd="1" destOrd="0" presId="urn:microsoft.com/office/officeart/2005/8/layout/venn2"/>
    <dgm:cxn modelId="{D70BD9E4-B8EE-2343-BE5B-1B46EB5F65C8}" type="presOf" srcId="{12FB1F22-A842-134E-84F3-42D47D7F7EE6}" destId="{61A50671-1F8B-6C49-AF8A-CB026C76C27F}" srcOrd="1" destOrd="0" presId="urn:microsoft.com/office/officeart/2005/8/layout/venn2"/>
    <dgm:cxn modelId="{1C360286-C60F-0D4A-AFF8-27CAEF7E44FD}" type="presParOf" srcId="{657CF7C4-BFFC-3044-880B-178B22081A64}" destId="{D4A944CD-EF86-9C42-B5E7-0945F346CB98}" srcOrd="0" destOrd="0" presId="urn:microsoft.com/office/officeart/2005/8/layout/venn2"/>
    <dgm:cxn modelId="{C28391AD-745A-984C-B798-22C551D0DD9F}" type="presParOf" srcId="{D4A944CD-EF86-9C42-B5E7-0945F346CB98}" destId="{E737CF6B-C91E-E54E-949B-A81129A01392}" srcOrd="0" destOrd="0" presId="urn:microsoft.com/office/officeart/2005/8/layout/venn2"/>
    <dgm:cxn modelId="{2BAFCD05-91CA-6448-B399-33A78A0588DF}" type="presParOf" srcId="{D4A944CD-EF86-9C42-B5E7-0945F346CB98}" destId="{DF2C2E26-AB26-544F-BD80-C86D5799BD3B}" srcOrd="1" destOrd="0" presId="urn:microsoft.com/office/officeart/2005/8/layout/venn2"/>
    <dgm:cxn modelId="{15617260-DE00-3042-9ACB-4A73D69F5023}" type="presParOf" srcId="{657CF7C4-BFFC-3044-880B-178B22081A64}" destId="{A7117407-AB30-4C44-93F7-7F8F7B7DEF6A}" srcOrd="1" destOrd="0" presId="urn:microsoft.com/office/officeart/2005/8/layout/venn2"/>
    <dgm:cxn modelId="{EA63D5FF-0221-9140-B8A9-2C6A955589C9}" type="presParOf" srcId="{A7117407-AB30-4C44-93F7-7F8F7B7DEF6A}" destId="{6C02740B-25F2-A744-9F32-BB95D0E8B25B}" srcOrd="0" destOrd="0" presId="urn:microsoft.com/office/officeart/2005/8/layout/venn2"/>
    <dgm:cxn modelId="{A4F9FC07-0539-0D45-9654-25E0E2D77183}" type="presParOf" srcId="{A7117407-AB30-4C44-93F7-7F8F7B7DEF6A}" destId="{91FD4D19-1A42-584A-B63E-8CCB5F36ADCA}" srcOrd="1" destOrd="0" presId="urn:microsoft.com/office/officeart/2005/8/layout/venn2"/>
    <dgm:cxn modelId="{A4553E60-B387-5149-B8AE-8E894978B75E}" type="presParOf" srcId="{657CF7C4-BFFC-3044-880B-178B22081A64}" destId="{DAD76DE4-7A57-8443-A552-599C79EF090E}" srcOrd="2" destOrd="0" presId="urn:microsoft.com/office/officeart/2005/8/layout/venn2"/>
    <dgm:cxn modelId="{CEA5D5A3-48FD-3B4D-B219-EADC65F16B3D}" type="presParOf" srcId="{DAD76DE4-7A57-8443-A552-599C79EF090E}" destId="{3498438E-0E6D-BC4E-A535-8AAAEE9EB478}" srcOrd="0" destOrd="0" presId="urn:microsoft.com/office/officeart/2005/8/layout/venn2"/>
    <dgm:cxn modelId="{F10A6EE9-FA80-734E-86A4-0917A30D5DDF}" type="presParOf" srcId="{DAD76DE4-7A57-8443-A552-599C79EF090E}" destId="{5EA83023-EEB9-714C-82F3-C33039258689}" srcOrd="1" destOrd="0" presId="urn:microsoft.com/office/officeart/2005/8/layout/venn2"/>
    <dgm:cxn modelId="{8952F35C-DBB2-FD4F-BAE8-65332418E370}" type="presParOf" srcId="{657CF7C4-BFFC-3044-880B-178B22081A64}" destId="{1AD5A57B-4CEC-F147-B6DA-0703B35B0B41}" srcOrd="3" destOrd="0" presId="urn:microsoft.com/office/officeart/2005/8/layout/venn2"/>
    <dgm:cxn modelId="{BC2A3DDA-3B00-B24C-B1CA-FA8C9AEB37EB}" type="presParOf" srcId="{1AD5A57B-4CEC-F147-B6DA-0703B35B0B41}" destId="{9B75BE7B-5F5D-BF48-93C8-39221245980C}" srcOrd="0" destOrd="0" presId="urn:microsoft.com/office/officeart/2005/8/layout/venn2"/>
    <dgm:cxn modelId="{DE144210-926C-B046-819C-2E9E9C8D1AAB}" type="presParOf" srcId="{1AD5A57B-4CEC-F147-B6DA-0703B35B0B41}" destId="{F044C5AE-B982-2B4F-A08F-DEB8934F911C}" srcOrd="1" destOrd="0" presId="urn:microsoft.com/office/officeart/2005/8/layout/venn2"/>
    <dgm:cxn modelId="{DD5750B2-81F8-8942-B512-8C59CD166873}" type="presParOf" srcId="{657CF7C4-BFFC-3044-880B-178B22081A64}" destId="{2DC53755-234C-5A47-80F5-936B00637A85}" srcOrd="4" destOrd="0" presId="urn:microsoft.com/office/officeart/2005/8/layout/venn2"/>
    <dgm:cxn modelId="{BE872D62-9954-2643-AC28-E7EAF337FE0D}" type="presParOf" srcId="{2DC53755-234C-5A47-80F5-936B00637A85}" destId="{5F23B502-819C-A24C-9C78-05837AAECF97}" srcOrd="0" destOrd="0" presId="urn:microsoft.com/office/officeart/2005/8/layout/venn2"/>
    <dgm:cxn modelId="{24B70917-AAD2-734A-88AF-D6BF65F11244}" type="presParOf" srcId="{2DC53755-234C-5A47-80F5-936B00637A85}" destId="{61A50671-1F8B-6C49-AF8A-CB026C76C27F}" srcOrd="1" destOrd="0" presId="urn:microsoft.com/office/officeart/2005/8/layout/ven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7CF6B-C91E-E54E-949B-A81129A01392}">
      <dsp:nvSpPr>
        <dsp:cNvPr id="0" name=""/>
        <dsp:cNvSpPr/>
      </dsp:nvSpPr>
      <dsp:spPr>
        <a:xfrm>
          <a:off x="802639" y="0"/>
          <a:ext cx="3698240" cy="3698240"/>
        </a:xfrm>
        <a:prstGeom prst="ellipse">
          <a:avLst/>
        </a:prstGeom>
        <a:solidFill>
          <a:schemeClr val="lt1">
            <a:hueOff val="0"/>
            <a:satOff val="0"/>
            <a:lumOff val="0"/>
            <a:alphaOff val="0"/>
          </a:schemeClr>
        </a:solidFill>
        <a:ln w="12700" cap="flat" cmpd="sng" algn="ctr">
          <a:solidFill>
            <a:schemeClr val="dk1">
              <a:shade val="80000"/>
              <a:hueOff val="0"/>
              <a:satOff val="0"/>
              <a:lumOff val="0"/>
            </a:schemeClr>
          </a:solid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Academic landscape</a:t>
          </a:r>
        </a:p>
      </dsp:txBody>
      <dsp:txXfrm>
        <a:off x="1958339" y="184912"/>
        <a:ext cx="1386840" cy="369824"/>
      </dsp:txXfrm>
    </dsp:sp>
    <dsp:sp modelId="{6C02740B-25F2-A744-9F32-BB95D0E8B25B}">
      <dsp:nvSpPr>
        <dsp:cNvPr id="0" name=""/>
        <dsp:cNvSpPr/>
      </dsp:nvSpPr>
      <dsp:spPr>
        <a:xfrm>
          <a:off x="1080008" y="554736"/>
          <a:ext cx="3143504" cy="314350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DAC (or synonym) + </a:t>
          </a:r>
          <a:r>
            <a:rPr lang="en-GB" sz="800" kern="1200" dirty="0" err="1"/>
            <a:t>eSAF</a:t>
          </a:r>
          <a:r>
            <a:rPr lang="en-GB" sz="800" kern="1200" dirty="0"/>
            <a:t> (or synonym): 48 hits</a:t>
          </a:r>
        </a:p>
      </dsp:txBody>
      <dsp:txXfrm>
        <a:off x="1973941" y="735487"/>
        <a:ext cx="1355636" cy="361502"/>
      </dsp:txXfrm>
    </dsp:sp>
    <dsp:sp modelId="{3498438E-0E6D-BC4E-A535-8AAAEE9EB478}">
      <dsp:nvSpPr>
        <dsp:cNvPr id="0" name=""/>
        <dsp:cNvSpPr/>
      </dsp:nvSpPr>
      <dsp:spPr>
        <a:xfrm>
          <a:off x="1357376" y="1109472"/>
          <a:ext cx="2588767" cy="258876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Limit to articles: 35 hits</a:t>
          </a:r>
        </a:p>
      </dsp:txBody>
      <dsp:txXfrm>
        <a:off x="1981916" y="1288096"/>
        <a:ext cx="1339687" cy="357249"/>
      </dsp:txXfrm>
    </dsp:sp>
    <dsp:sp modelId="{9B75BE7B-5F5D-BF48-93C8-39221245980C}">
      <dsp:nvSpPr>
        <dsp:cNvPr id="0" name=""/>
        <dsp:cNvSpPr/>
      </dsp:nvSpPr>
      <dsp:spPr>
        <a:xfrm>
          <a:off x="1634743" y="1664207"/>
          <a:ext cx="2034032" cy="203403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Open access: 23 hits</a:t>
          </a:r>
        </a:p>
      </dsp:txBody>
      <dsp:txXfrm>
        <a:off x="2102571" y="1847270"/>
        <a:ext cx="1098377" cy="366125"/>
      </dsp:txXfrm>
    </dsp:sp>
    <dsp:sp modelId="{5F23B502-819C-A24C-9C78-05837AAECF97}">
      <dsp:nvSpPr>
        <dsp:cNvPr id="0" name=""/>
        <dsp:cNvSpPr/>
      </dsp:nvSpPr>
      <dsp:spPr>
        <a:xfrm>
          <a:off x="1912112" y="2218944"/>
          <a:ext cx="1479296" cy="14792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Individual </a:t>
          </a:r>
          <a:r>
            <a:rPr lang="en-GB" sz="800" kern="1200" dirty="0"/>
            <a:t>abstract assessment: 10 hits</a:t>
          </a:r>
        </a:p>
      </dsp:txBody>
      <dsp:txXfrm>
        <a:off x="2128749" y="2588767"/>
        <a:ext cx="1046020" cy="7396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E0B10-E50E-8443-8BEE-55936B73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40559</Words>
  <Characters>231192</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Enabling Sustainable Aviation Fuel (SAF) in the EU: Evaluating Technological Pathways with a Focus on Direct Air Capture (DAC) Technology</dc:title>
  <dc:subject/>
  <dc:creator>Taeke Tamsma</dc:creator>
  <cp:keywords/>
  <dc:description/>
  <cp:lastModifiedBy>Taeke Tamsma</cp:lastModifiedBy>
  <cp:revision>2</cp:revision>
  <dcterms:created xsi:type="dcterms:W3CDTF">2024-12-06T18:11:00Z</dcterms:created>
  <dcterms:modified xsi:type="dcterms:W3CDTF">2024-12-06T18:11:00Z</dcterms:modified>
</cp:coreProperties>
</file>